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BFAB3" w14:textId="77777777" w:rsidR="00190A12" w:rsidRPr="00735666" w:rsidRDefault="00190A12" w:rsidP="00C83310">
      <w:pPr>
        <w:tabs>
          <w:tab w:val="left" w:pos="0"/>
        </w:tabs>
        <w:jc w:val="center"/>
        <w:outlineLvl w:val="0"/>
        <w:rPr>
          <w:rFonts w:ascii="Arial" w:hAnsi="Arial" w:cs="Arial"/>
          <w:b/>
          <w:smallCaps/>
          <w:color w:val="4472C4" w:themeColor="accent1"/>
          <w:sz w:val="36"/>
          <w:szCs w:val="36"/>
          <w:lang w:bidi="th-TH"/>
        </w:rPr>
      </w:pPr>
      <w:bookmarkStart w:id="0" w:name="_GoBack"/>
      <w:bookmarkEnd w:id="0"/>
      <w:r w:rsidRPr="00735666">
        <w:rPr>
          <w:rFonts w:ascii="Arial" w:hAnsi="Arial" w:cs="Arial"/>
          <w:b/>
          <w:smallCaps/>
          <w:color w:val="4472C4" w:themeColor="accent1"/>
          <w:sz w:val="36"/>
          <w:szCs w:val="36"/>
          <w:lang w:bidi="th-TH"/>
        </w:rPr>
        <w:t>The Declaration of Istanbul</w:t>
      </w:r>
    </w:p>
    <w:p w14:paraId="3DED63AB" w14:textId="77777777" w:rsidR="00190A12" w:rsidRPr="00735666" w:rsidRDefault="00190A12" w:rsidP="00190A12">
      <w:pPr>
        <w:tabs>
          <w:tab w:val="left" w:pos="0"/>
        </w:tabs>
        <w:jc w:val="center"/>
        <w:outlineLvl w:val="0"/>
        <w:rPr>
          <w:rFonts w:ascii="Arial" w:hAnsi="Arial" w:cs="Arial"/>
          <w:b/>
          <w:smallCaps/>
          <w:color w:val="4472C4" w:themeColor="accent1"/>
          <w:sz w:val="36"/>
          <w:szCs w:val="36"/>
          <w:lang w:bidi="th-TH"/>
        </w:rPr>
      </w:pPr>
      <w:r w:rsidRPr="00735666">
        <w:rPr>
          <w:rFonts w:ascii="Arial" w:hAnsi="Arial" w:cs="Arial"/>
          <w:b/>
          <w:smallCaps/>
          <w:color w:val="4472C4" w:themeColor="accent1"/>
          <w:sz w:val="36"/>
          <w:szCs w:val="36"/>
          <w:lang w:bidi="th-TH"/>
        </w:rPr>
        <w:t>on Organ Trafficking and Transplant Tourism</w:t>
      </w:r>
    </w:p>
    <w:p w14:paraId="57156B44" w14:textId="144F30C9" w:rsidR="00190A12" w:rsidRPr="00735666" w:rsidRDefault="00533135" w:rsidP="00190A12">
      <w:pPr>
        <w:tabs>
          <w:tab w:val="left" w:pos="0"/>
        </w:tabs>
        <w:jc w:val="center"/>
        <w:outlineLvl w:val="0"/>
        <w:rPr>
          <w:rFonts w:ascii="Arial" w:hAnsi="Arial" w:cs="Arial"/>
          <w:b/>
          <w:color w:val="4472C4" w:themeColor="accent1"/>
          <w:sz w:val="36"/>
          <w:szCs w:val="36"/>
          <w:lang w:bidi="th-TH"/>
        </w:rPr>
      </w:pPr>
      <w:r>
        <w:rPr>
          <w:rFonts w:ascii="Arial" w:hAnsi="Arial" w:cs="Arial"/>
          <w:b/>
          <w:color w:val="4472C4" w:themeColor="accent1"/>
          <w:sz w:val="36"/>
          <w:szCs w:val="36"/>
          <w:lang w:bidi="th-TH"/>
        </w:rPr>
        <w:t xml:space="preserve"> (2018 Edition)</w:t>
      </w:r>
    </w:p>
    <w:p w14:paraId="6BC0E8DE" w14:textId="4DE43963" w:rsidR="00190A12" w:rsidRPr="00735666" w:rsidRDefault="00C51A4D" w:rsidP="00190A12">
      <w:pPr>
        <w:spacing w:line="360" w:lineRule="auto"/>
        <w:rPr>
          <w:rFonts w:ascii="Arial" w:hAnsi="Arial" w:cs="Arial"/>
          <w:lang w:bidi="th-TH"/>
        </w:rPr>
      </w:pPr>
      <w:r w:rsidRPr="00DD1F4E">
        <w:rPr>
          <w:rFonts w:ascii="Arial" w:hAnsi="Arial" w:cs="Arial"/>
          <w:noProof/>
          <w:lang w:val="fr-FR" w:eastAsia="fr-FR"/>
        </w:rPr>
        <mc:AlternateContent>
          <mc:Choice Requires="wps">
            <w:drawing>
              <wp:anchor distT="0" distB="0" distL="114300" distR="114300" simplePos="0" relativeHeight="251659264" behindDoc="0" locked="0" layoutInCell="1" allowOverlap="1" wp14:anchorId="48DF9C1A" wp14:editId="3E788BF0">
                <wp:simplePos x="0" y="0"/>
                <wp:positionH relativeFrom="column">
                  <wp:posOffset>0</wp:posOffset>
                </wp:positionH>
                <wp:positionV relativeFrom="paragraph">
                  <wp:posOffset>248580</wp:posOffset>
                </wp:positionV>
                <wp:extent cx="5727700" cy="0"/>
                <wp:effectExtent l="0" t="1270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254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FCB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5pt" to="45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" strokecolor="#4472c4 [3204]" strokeweight="2pt"/>
            </w:pict>
          </mc:Fallback>
        </mc:AlternateContent>
      </w:r>
    </w:p>
    <w:p w14:paraId="384449B2" w14:textId="77777777" w:rsidR="004D7152" w:rsidRDefault="004D7152" w:rsidP="00190A12">
      <w:pPr>
        <w:spacing w:line="360" w:lineRule="auto"/>
        <w:outlineLvl w:val="0"/>
        <w:rPr>
          <w:rFonts w:ascii="Arial" w:hAnsi="Arial" w:cs="Arial"/>
          <w:b/>
          <w:u w:val="single"/>
          <w:lang w:bidi="th-TH"/>
        </w:rPr>
      </w:pPr>
    </w:p>
    <w:p w14:paraId="62B26C55" w14:textId="2EC0DF53" w:rsidR="00190A12" w:rsidRPr="00735666" w:rsidRDefault="00190A12" w:rsidP="00190A12">
      <w:pPr>
        <w:spacing w:line="360" w:lineRule="auto"/>
        <w:outlineLvl w:val="0"/>
        <w:rPr>
          <w:rFonts w:ascii="Arial" w:hAnsi="Arial" w:cs="Arial"/>
          <w:u w:val="single"/>
          <w:lang w:bidi="th-TH"/>
        </w:rPr>
      </w:pPr>
      <w:r w:rsidRPr="00735666">
        <w:rPr>
          <w:rFonts w:ascii="Arial" w:hAnsi="Arial" w:cs="Arial"/>
          <w:b/>
          <w:u w:val="single"/>
          <w:lang w:bidi="th-TH"/>
        </w:rPr>
        <w:t>Preamble</w:t>
      </w:r>
    </w:p>
    <w:p w14:paraId="71F2D111" w14:textId="77777777" w:rsidR="00190A12" w:rsidRPr="00735666" w:rsidRDefault="00190A12" w:rsidP="00190A12">
      <w:pPr>
        <w:spacing w:line="360" w:lineRule="auto"/>
        <w:rPr>
          <w:rFonts w:ascii="Arial" w:hAnsi="Arial" w:cs="Arial"/>
          <w:sz w:val="16"/>
          <w:szCs w:val="16"/>
          <w:lang w:bidi="th-TH"/>
        </w:rPr>
      </w:pPr>
    </w:p>
    <w:p w14:paraId="0B4B715D" w14:textId="7BF2A066" w:rsidR="00190A12" w:rsidRPr="00735666" w:rsidRDefault="00190A12" w:rsidP="00190A12">
      <w:pPr>
        <w:jc w:val="both"/>
        <w:rPr>
          <w:rFonts w:ascii="Arial" w:hAnsi="Arial" w:cs="Arial"/>
          <w:lang w:bidi="th-TH"/>
        </w:rPr>
      </w:pPr>
      <w:r w:rsidRPr="00735666">
        <w:rPr>
          <w:rFonts w:ascii="Arial" w:hAnsi="Arial" w:cs="Arial"/>
          <w:lang w:bidi="th-TH"/>
        </w:rPr>
        <w:t xml:space="preserve">Organ transplantation, one of the greatest medical success stories of the twentieth century, has prolonged and improved the lives of hundreds of thousands of patients worldwide. Countless acts of generosity by organ donors and their families, as well as </w:t>
      </w:r>
      <w:r w:rsidR="00093E18" w:rsidRPr="00735666">
        <w:rPr>
          <w:rFonts w:ascii="Arial" w:hAnsi="Arial" w:cs="Arial"/>
          <w:lang w:bidi="th-TH"/>
        </w:rPr>
        <w:t xml:space="preserve">the </w:t>
      </w:r>
      <w:r w:rsidRPr="00735666">
        <w:rPr>
          <w:rFonts w:ascii="Arial" w:hAnsi="Arial" w:cs="Arial"/>
          <w:lang w:bidi="th-TH"/>
        </w:rPr>
        <w:t xml:space="preserve">many important scientific and clinical advances achieved by dedicated health professionals, have made transplantation not only a life-saving therapy but a symbol of human solidarity. Yet these accomplishments have been tarnished by numerous instances of organ trafficking, of trafficking in persons for the purpose of organ removal, and of patients who travel abroad to purchase organs from poor and vulnerable people. </w:t>
      </w:r>
      <w:r w:rsidR="00997F4D" w:rsidRPr="00735666">
        <w:rPr>
          <w:rFonts w:ascii="Arial" w:hAnsi="Arial" w:cs="Arial"/>
          <w:lang w:bidi="th-TH"/>
        </w:rPr>
        <w:t xml:space="preserve">In 2007 </w:t>
      </w:r>
      <w:r w:rsidR="00BD3AAF" w:rsidRPr="00735666">
        <w:rPr>
          <w:rFonts w:ascii="Arial" w:hAnsi="Arial" w:cs="Arial"/>
          <w:lang w:bidi="th-TH"/>
        </w:rPr>
        <w:t>it was</w:t>
      </w:r>
      <w:r w:rsidR="00997F4D" w:rsidRPr="00735666">
        <w:rPr>
          <w:rFonts w:ascii="Arial" w:hAnsi="Arial" w:cs="Arial"/>
          <w:lang w:bidi="th-TH"/>
        </w:rPr>
        <w:t xml:space="preserve"> estimated that up to 10% of transplants worldwide involved such practices</w:t>
      </w:r>
      <w:r w:rsidR="00364463" w:rsidRPr="00735666">
        <w:rPr>
          <w:rFonts w:ascii="Arial" w:hAnsi="Arial" w:cs="Arial"/>
          <w:lang w:bidi="th-TH"/>
        </w:rPr>
        <w:t xml:space="preserve"> </w:t>
      </w:r>
      <w:r w:rsidR="008D3960" w:rsidRPr="00735666">
        <w:rPr>
          <w:rFonts w:ascii="Arial" w:hAnsi="Arial" w:cs="Arial"/>
          <w:lang w:bidi="th-TH"/>
        </w:rPr>
        <w:t>[1]</w:t>
      </w:r>
      <w:r w:rsidR="00364463" w:rsidRPr="00735666">
        <w:rPr>
          <w:rFonts w:ascii="Arial" w:hAnsi="Arial" w:cs="Arial"/>
          <w:lang w:bidi="th-TH"/>
        </w:rPr>
        <w:t>.</w:t>
      </w:r>
      <w:r w:rsidR="00AB454A" w:rsidRPr="00735666">
        <w:rPr>
          <w:rFonts w:ascii="Arial" w:hAnsi="Arial" w:cs="Arial"/>
          <w:lang w:bidi="th-TH"/>
        </w:rPr>
        <w:t xml:space="preserve"> </w:t>
      </w:r>
    </w:p>
    <w:p w14:paraId="6848BDBF" w14:textId="77777777" w:rsidR="00190A12" w:rsidRPr="00735666" w:rsidRDefault="00190A12" w:rsidP="00190A12">
      <w:pPr>
        <w:rPr>
          <w:rFonts w:ascii="Arial" w:hAnsi="Arial" w:cs="Arial"/>
          <w:lang w:bidi="th-TH"/>
        </w:rPr>
      </w:pPr>
    </w:p>
    <w:p w14:paraId="49A434BC" w14:textId="1129F343" w:rsidR="00190A12" w:rsidRPr="00735666" w:rsidRDefault="00190A12" w:rsidP="00190A12">
      <w:pPr>
        <w:jc w:val="both"/>
        <w:rPr>
          <w:rFonts w:ascii="Arial" w:hAnsi="Arial" w:cs="Arial"/>
          <w:lang w:bidi="th-TH"/>
        </w:rPr>
      </w:pPr>
      <w:r w:rsidRPr="00735666">
        <w:rPr>
          <w:rFonts w:ascii="Arial" w:hAnsi="Arial" w:cs="Arial"/>
          <w:lang w:bidi="th-TH"/>
        </w:rPr>
        <w:t xml:space="preserve">To address the urgent and growing problems posed by these </w:t>
      </w:r>
      <w:r w:rsidR="00A566D6" w:rsidRPr="00735666">
        <w:rPr>
          <w:rFonts w:ascii="Arial" w:hAnsi="Arial" w:cs="Arial"/>
          <w:lang w:bidi="th-TH"/>
        </w:rPr>
        <w:t xml:space="preserve">unethical </w:t>
      </w:r>
      <w:r w:rsidRPr="00735666">
        <w:rPr>
          <w:rFonts w:ascii="Arial" w:hAnsi="Arial" w:cs="Arial"/>
          <w:lang w:bidi="th-TH"/>
        </w:rPr>
        <w:t>activities</w:t>
      </w:r>
      <w:r w:rsidR="00994E76" w:rsidRPr="00735666">
        <w:rPr>
          <w:rFonts w:ascii="Arial" w:hAnsi="Arial" w:cs="Arial"/>
          <w:lang w:bidi="th-TH"/>
        </w:rPr>
        <w:t>,</w:t>
      </w:r>
      <w:r w:rsidR="00BA7174" w:rsidRPr="00735666">
        <w:rPr>
          <w:rFonts w:ascii="Arial" w:hAnsi="Arial" w:cs="Arial"/>
          <w:lang w:bidi="th-TH"/>
        </w:rPr>
        <w:t xml:space="preserve"> </w:t>
      </w:r>
      <w:r w:rsidR="00994E76" w:rsidRPr="00735666">
        <w:rPr>
          <w:rFonts w:ascii="Arial" w:hAnsi="Arial" w:cs="Arial"/>
          <w:lang w:bidi="th-TH"/>
        </w:rPr>
        <w:t>t</w:t>
      </w:r>
      <w:r w:rsidRPr="00735666">
        <w:rPr>
          <w:rFonts w:ascii="Arial" w:hAnsi="Arial" w:cs="Arial"/>
          <w:lang w:bidi="th-TH"/>
        </w:rPr>
        <w:t>he Transplantation Society (TTS) and the International Society of Nephrology (ISN) convened a Summit Meeting in Istanbul in April 2008. 151 participants—representatives of scientific and medical bodies, government officials, social scientists, and ethicists—reached consensus o</w:t>
      </w:r>
      <w:r w:rsidR="00BD3AAF" w:rsidRPr="00735666">
        <w:rPr>
          <w:rFonts w:ascii="Arial" w:hAnsi="Arial" w:cs="Arial"/>
          <w:lang w:bidi="th-TH"/>
        </w:rPr>
        <w:t>n the Declaration of Istanbul</w:t>
      </w:r>
      <w:r w:rsidR="00364463" w:rsidRPr="00735666">
        <w:rPr>
          <w:rFonts w:ascii="Arial" w:hAnsi="Arial" w:cs="Arial"/>
          <w:lang w:bidi="th-TH"/>
        </w:rPr>
        <w:t xml:space="preserve"> </w:t>
      </w:r>
      <w:r w:rsidR="008D3960" w:rsidRPr="00735666">
        <w:rPr>
          <w:rFonts w:ascii="Arial" w:hAnsi="Arial" w:cs="Arial"/>
          <w:lang w:bidi="th-TH"/>
        </w:rPr>
        <w:t>[2]</w:t>
      </w:r>
      <w:r w:rsidR="00364463" w:rsidRPr="00735666">
        <w:rPr>
          <w:rFonts w:ascii="Arial" w:hAnsi="Arial" w:cs="Arial"/>
          <w:lang w:bidi="th-TH"/>
        </w:rPr>
        <w:t>,</w:t>
      </w:r>
      <w:r w:rsidRPr="00735666">
        <w:rPr>
          <w:rFonts w:ascii="Arial" w:hAnsi="Arial" w:cs="Arial"/>
          <w:lang w:bidi="th-TH"/>
        </w:rPr>
        <w:t xml:space="preserve"> which has been subsequently endorsed by more than 135 national and international medical societies and governmental bodies involved in organ transplantation. </w:t>
      </w:r>
    </w:p>
    <w:p w14:paraId="3B87DCCD" w14:textId="77777777" w:rsidR="00190A12" w:rsidRPr="00735666" w:rsidRDefault="00190A12" w:rsidP="00190A12">
      <w:pPr>
        <w:jc w:val="both"/>
        <w:rPr>
          <w:rFonts w:ascii="Arial" w:hAnsi="Arial" w:cs="Arial"/>
          <w:lang w:bidi="th-TH"/>
        </w:rPr>
      </w:pPr>
    </w:p>
    <w:p w14:paraId="662E6968" w14:textId="672720AD" w:rsidR="00190A12" w:rsidRPr="00735666" w:rsidRDefault="00190A12" w:rsidP="00997F4D">
      <w:pPr>
        <w:jc w:val="both"/>
        <w:rPr>
          <w:rFonts w:ascii="Arial" w:hAnsi="Arial" w:cs="Arial"/>
          <w:lang w:bidi="th-TH"/>
        </w:rPr>
      </w:pPr>
      <w:r w:rsidRPr="00735666">
        <w:rPr>
          <w:rFonts w:ascii="Arial" w:hAnsi="Arial" w:cs="Arial"/>
          <w:lang w:bidi="th-TH"/>
        </w:rPr>
        <w:t xml:space="preserve">The Declaration of Istanbul expresses the determination of </w:t>
      </w:r>
      <w:r w:rsidR="00997F4D" w:rsidRPr="00735666">
        <w:rPr>
          <w:rFonts w:ascii="Arial" w:hAnsi="Arial" w:cs="Arial"/>
          <w:lang w:bidi="th-TH"/>
        </w:rPr>
        <w:t xml:space="preserve">donation and </w:t>
      </w:r>
      <w:r w:rsidRPr="00735666">
        <w:rPr>
          <w:rFonts w:ascii="Arial" w:hAnsi="Arial" w:cs="Arial"/>
          <w:lang w:bidi="th-TH"/>
        </w:rPr>
        <w:t xml:space="preserve">transplant professionals and their colleagues in related fields that the benefits of transplantation be maximized and shared equitably with those in need, without reliance on unethical and exploitative practices that have harmed poor and powerless </w:t>
      </w:r>
      <w:r w:rsidR="002F5F76" w:rsidRPr="00735666">
        <w:rPr>
          <w:rFonts w:ascii="Arial" w:hAnsi="Arial" w:cs="Arial"/>
          <w:lang w:bidi="th-TH"/>
        </w:rPr>
        <w:t xml:space="preserve">persons </w:t>
      </w:r>
      <w:r w:rsidRPr="00735666">
        <w:rPr>
          <w:rFonts w:ascii="Arial" w:hAnsi="Arial" w:cs="Arial"/>
          <w:lang w:bidi="th-TH"/>
        </w:rPr>
        <w:t xml:space="preserve">around the world. </w:t>
      </w:r>
      <w:r w:rsidR="005F067D" w:rsidRPr="00735666">
        <w:rPr>
          <w:rFonts w:ascii="Arial" w:hAnsi="Arial" w:cs="Arial"/>
          <w:lang w:bidi="th-TH"/>
        </w:rPr>
        <w:t>It aims to provide ethical guidance for professionals and policymakers</w:t>
      </w:r>
      <w:r w:rsidR="00476C0E" w:rsidRPr="00735666">
        <w:rPr>
          <w:rFonts w:ascii="Arial" w:hAnsi="Arial" w:cs="Arial"/>
          <w:lang w:bidi="th-TH"/>
        </w:rPr>
        <w:t xml:space="preserve"> who share this goal.</w:t>
      </w:r>
      <w:r w:rsidR="005F067D" w:rsidRPr="00735666">
        <w:rPr>
          <w:rFonts w:ascii="Arial" w:hAnsi="Arial" w:cs="Arial"/>
          <w:lang w:bidi="th-TH"/>
        </w:rPr>
        <w:t xml:space="preserve"> </w:t>
      </w:r>
      <w:r w:rsidRPr="00735666">
        <w:rPr>
          <w:rFonts w:ascii="Arial" w:hAnsi="Arial" w:cs="Arial"/>
          <w:lang w:bidi="th-TH"/>
        </w:rPr>
        <w:t xml:space="preserve">The Declaration thus complements efforts </w:t>
      </w:r>
      <w:r w:rsidR="00AB454A" w:rsidRPr="00735666">
        <w:rPr>
          <w:rFonts w:ascii="Arial" w:hAnsi="Arial" w:cs="Arial"/>
          <w:lang w:bidi="th-TH"/>
        </w:rPr>
        <w:t xml:space="preserve">by professional societies, national health authorities, and </w:t>
      </w:r>
      <w:r w:rsidR="00696461" w:rsidRPr="00735666">
        <w:rPr>
          <w:rFonts w:ascii="Arial" w:hAnsi="Arial" w:cs="Arial"/>
          <w:lang w:bidi="th-TH"/>
        </w:rPr>
        <w:t xml:space="preserve">inter-governmental organizations </w:t>
      </w:r>
      <w:r w:rsidRPr="00735666">
        <w:rPr>
          <w:rFonts w:ascii="Arial" w:hAnsi="Arial" w:cs="Arial"/>
          <w:lang w:bidi="th-TH"/>
        </w:rPr>
        <w:t>such as</w:t>
      </w:r>
      <w:r w:rsidR="00AB454A" w:rsidRPr="00735666">
        <w:rPr>
          <w:rFonts w:ascii="Arial" w:hAnsi="Arial" w:cs="Arial"/>
          <w:lang w:bidi="th-TH"/>
        </w:rPr>
        <w:t xml:space="preserve"> </w:t>
      </w:r>
      <w:r w:rsidRPr="00735666">
        <w:rPr>
          <w:rFonts w:ascii="Arial" w:hAnsi="Arial" w:cs="Arial"/>
          <w:lang w:bidi="th-TH"/>
        </w:rPr>
        <w:t>the World Health Organisation</w:t>
      </w:r>
      <w:r w:rsidR="00364463" w:rsidRPr="00735666">
        <w:rPr>
          <w:rFonts w:ascii="Arial" w:hAnsi="Arial" w:cs="Arial"/>
          <w:lang w:bidi="th-TH"/>
        </w:rPr>
        <w:t xml:space="preserve"> </w:t>
      </w:r>
      <w:r w:rsidR="008D3960" w:rsidRPr="00735666">
        <w:rPr>
          <w:rFonts w:ascii="Arial" w:hAnsi="Arial" w:cs="Arial"/>
          <w:lang w:bidi="th-TH"/>
        </w:rPr>
        <w:t>[3]</w:t>
      </w:r>
      <w:r w:rsidR="00364463" w:rsidRPr="00735666">
        <w:rPr>
          <w:rFonts w:ascii="Arial" w:hAnsi="Arial" w:cs="Arial"/>
          <w:lang w:bidi="th-TH"/>
        </w:rPr>
        <w:t>,</w:t>
      </w:r>
      <w:r w:rsidRPr="00735666">
        <w:rPr>
          <w:rFonts w:ascii="Arial" w:hAnsi="Arial" w:cs="Arial"/>
          <w:lang w:bidi="th-TH"/>
        </w:rPr>
        <w:t xml:space="preserve"> the United Nations</w:t>
      </w:r>
      <w:r w:rsidR="00364463" w:rsidRPr="00735666">
        <w:rPr>
          <w:rFonts w:ascii="Arial" w:hAnsi="Arial" w:cs="Arial"/>
          <w:lang w:bidi="th-TH"/>
        </w:rPr>
        <w:t xml:space="preserve"> </w:t>
      </w:r>
      <w:r w:rsidR="008D3960" w:rsidRPr="00735666">
        <w:rPr>
          <w:rFonts w:ascii="Arial" w:hAnsi="Arial" w:cs="Arial"/>
          <w:lang w:bidi="th-TH"/>
        </w:rPr>
        <w:t>[4,5]</w:t>
      </w:r>
      <w:r w:rsidR="00364463" w:rsidRPr="00735666">
        <w:rPr>
          <w:rFonts w:ascii="Arial" w:hAnsi="Arial" w:cs="Arial"/>
          <w:lang w:bidi="th-TH"/>
        </w:rPr>
        <w:t>,</w:t>
      </w:r>
      <w:r w:rsidRPr="00735666">
        <w:rPr>
          <w:rFonts w:ascii="Arial" w:hAnsi="Arial" w:cs="Arial"/>
          <w:lang w:bidi="th-TH"/>
        </w:rPr>
        <w:t xml:space="preserve"> and</w:t>
      </w:r>
      <w:r w:rsidR="00997F4D" w:rsidRPr="00735666">
        <w:rPr>
          <w:rFonts w:ascii="Arial" w:hAnsi="Arial" w:cs="Arial"/>
          <w:lang w:bidi="th-TH"/>
        </w:rPr>
        <w:t xml:space="preserve"> </w:t>
      </w:r>
      <w:r w:rsidRPr="00735666">
        <w:rPr>
          <w:rFonts w:ascii="Arial" w:hAnsi="Arial" w:cs="Arial"/>
          <w:lang w:bidi="th-TH"/>
        </w:rPr>
        <w:t>the Council of Europe</w:t>
      </w:r>
      <w:r w:rsidR="00364463" w:rsidRPr="00735666">
        <w:rPr>
          <w:rFonts w:ascii="Arial" w:hAnsi="Arial" w:cs="Arial"/>
          <w:lang w:bidi="th-TH"/>
        </w:rPr>
        <w:t xml:space="preserve"> </w:t>
      </w:r>
      <w:r w:rsidR="008D3960" w:rsidRPr="00735666">
        <w:rPr>
          <w:rFonts w:ascii="Arial" w:hAnsi="Arial" w:cs="Arial"/>
          <w:lang w:bidi="th-TH"/>
        </w:rPr>
        <w:t>[6-</w:t>
      </w:r>
      <w:r w:rsidR="00F11300" w:rsidRPr="00735666">
        <w:rPr>
          <w:rFonts w:ascii="Arial" w:hAnsi="Arial" w:cs="Arial"/>
          <w:lang w:bidi="th-TH"/>
        </w:rPr>
        <w:t>8</w:t>
      </w:r>
      <w:r w:rsidR="008D3960" w:rsidRPr="00735666">
        <w:rPr>
          <w:rFonts w:ascii="Arial" w:hAnsi="Arial" w:cs="Arial"/>
          <w:lang w:bidi="th-TH"/>
        </w:rPr>
        <w:t>]</w:t>
      </w:r>
      <w:r w:rsidRPr="00735666">
        <w:rPr>
          <w:rFonts w:ascii="Arial" w:hAnsi="Arial" w:cs="Arial"/>
          <w:lang w:bidi="th-TH"/>
        </w:rPr>
        <w:t xml:space="preserve"> </w:t>
      </w:r>
      <w:r w:rsidR="00AB454A" w:rsidRPr="00735666">
        <w:rPr>
          <w:rFonts w:ascii="Arial" w:hAnsi="Arial" w:cs="Arial"/>
          <w:lang w:bidi="th-TH"/>
        </w:rPr>
        <w:t>to support</w:t>
      </w:r>
      <w:r w:rsidR="00093E18" w:rsidRPr="00735666">
        <w:rPr>
          <w:rFonts w:ascii="Arial" w:hAnsi="Arial" w:cs="Arial"/>
          <w:lang w:bidi="th-TH"/>
        </w:rPr>
        <w:t xml:space="preserve"> the </w:t>
      </w:r>
      <w:r w:rsidR="00AB454A" w:rsidRPr="00735666">
        <w:rPr>
          <w:rFonts w:ascii="Arial" w:hAnsi="Arial" w:cs="Arial"/>
          <w:lang w:bidi="th-TH"/>
        </w:rPr>
        <w:t>development of ethical programs for organ donation and transplantation</w:t>
      </w:r>
      <w:r w:rsidR="006C1DD5" w:rsidRPr="00735666">
        <w:rPr>
          <w:rFonts w:ascii="Arial" w:hAnsi="Arial" w:cs="Arial"/>
          <w:lang w:bidi="th-TH"/>
        </w:rPr>
        <w:t>,</w:t>
      </w:r>
      <w:r w:rsidR="00AB454A" w:rsidRPr="00735666">
        <w:rPr>
          <w:rFonts w:ascii="Arial" w:hAnsi="Arial" w:cs="Arial"/>
          <w:lang w:bidi="th-TH"/>
        </w:rPr>
        <w:t xml:space="preserve"> and to prevent organ trafficking and transplant tourism. These efforts have contributed to</w:t>
      </w:r>
      <w:r w:rsidR="00BC327D" w:rsidRPr="00735666">
        <w:rPr>
          <w:rFonts w:ascii="Arial" w:hAnsi="Arial" w:cs="Arial"/>
          <w:lang w:bidi="th-TH"/>
        </w:rPr>
        <w:t xml:space="preserve"> the considerable </w:t>
      </w:r>
      <w:r w:rsidR="005F067D" w:rsidRPr="00735666">
        <w:rPr>
          <w:rFonts w:ascii="Arial" w:hAnsi="Arial" w:cs="Arial"/>
          <w:lang w:bidi="th-TH"/>
        </w:rPr>
        <w:t>progress</w:t>
      </w:r>
      <w:r w:rsidR="00AB454A" w:rsidRPr="00735666">
        <w:rPr>
          <w:rFonts w:ascii="Arial" w:hAnsi="Arial" w:cs="Arial"/>
          <w:lang w:bidi="th-TH"/>
        </w:rPr>
        <w:t xml:space="preserve"> </w:t>
      </w:r>
      <w:r w:rsidR="00BC327D" w:rsidRPr="00735666">
        <w:rPr>
          <w:rFonts w:ascii="Arial" w:hAnsi="Arial" w:cs="Arial"/>
          <w:lang w:bidi="th-TH"/>
        </w:rPr>
        <w:t>made in countries around the world</w:t>
      </w:r>
      <w:r w:rsidR="00AB454A" w:rsidRPr="00735666">
        <w:rPr>
          <w:rFonts w:ascii="Arial" w:hAnsi="Arial" w:cs="Arial"/>
          <w:lang w:bidi="th-TH"/>
        </w:rPr>
        <w:t xml:space="preserve"> since 2008. </w:t>
      </w:r>
    </w:p>
    <w:p w14:paraId="1D8E98D2" w14:textId="77777777" w:rsidR="00190A12" w:rsidRPr="00735666" w:rsidRDefault="00190A12" w:rsidP="00190A12">
      <w:pPr>
        <w:jc w:val="both"/>
        <w:rPr>
          <w:rFonts w:ascii="Arial" w:hAnsi="Arial" w:cs="Arial"/>
          <w:lang w:bidi="th-TH"/>
        </w:rPr>
      </w:pPr>
    </w:p>
    <w:p w14:paraId="010E33DC" w14:textId="1C6B2A33" w:rsidR="00D66FCE" w:rsidRPr="00735666" w:rsidRDefault="00190A12" w:rsidP="00190A12">
      <w:pPr>
        <w:jc w:val="both"/>
        <w:rPr>
          <w:rFonts w:ascii="Arial" w:hAnsi="Arial" w:cs="Arial"/>
          <w:lang w:bidi="th-TH"/>
        </w:rPr>
      </w:pPr>
      <w:r w:rsidRPr="00735666">
        <w:rPr>
          <w:rFonts w:ascii="Arial" w:hAnsi="Arial" w:cs="Arial"/>
          <w:lang w:bidi="th-TH"/>
        </w:rPr>
        <w:t xml:space="preserve">In 2010 TTS and ISN created the Declaration of Istanbul Custodian Group (DICG) to disseminate the Declaration and to respond to new challenges in organ trafficking and transplant tourism. Between February 2018 and May 2018, the DICG carried out a wide-ranging consultation, open to all interested parties, </w:t>
      </w:r>
      <w:r w:rsidR="004619EB" w:rsidRPr="00735666">
        <w:rPr>
          <w:rFonts w:ascii="Arial" w:hAnsi="Arial" w:cs="Arial"/>
          <w:lang w:bidi="th-TH"/>
        </w:rPr>
        <w:t>t</w:t>
      </w:r>
      <w:r w:rsidRPr="00735666">
        <w:rPr>
          <w:rFonts w:ascii="Arial" w:hAnsi="Arial" w:cs="Arial"/>
          <w:lang w:bidi="th-TH"/>
        </w:rPr>
        <w:t xml:space="preserve">o </w:t>
      </w:r>
      <w:r w:rsidR="00B73A63" w:rsidRPr="00735666">
        <w:rPr>
          <w:rFonts w:ascii="Arial" w:hAnsi="Arial" w:cs="Arial"/>
          <w:lang w:bidi="th-TH"/>
        </w:rPr>
        <w:t>updat</w:t>
      </w:r>
      <w:r w:rsidR="004619EB" w:rsidRPr="00735666">
        <w:rPr>
          <w:rFonts w:ascii="Arial" w:hAnsi="Arial" w:cs="Arial"/>
          <w:lang w:bidi="th-TH"/>
        </w:rPr>
        <w:t>e</w:t>
      </w:r>
      <w:r w:rsidRPr="00735666">
        <w:rPr>
          <w:rFonts w:ascii="Arial" w:hAnsi="Arial" w:cs="Arial"/>
          <w:lang w:bidi="th-TH"/>
        </w:rPr>
        <w:t xml:space="preserve"> the Declaration</w:t>
      </w:r>
      <w:r w:rsidR="004619EB" w:rsidRPr="00735666">
        <w:rPr>
          <w:rFonts w:ascii="Arial" w:hAnsi="Arial" w:cs="Arial"/>
          <w:lang w:bidi="th-TH"/>
        </w:rPr>
        <w:t xml:space="preserve"> in response to </w:t>
      </w:r>
      <w:r w:rsidR="002E6F37" w:rsidRPr="00735666">
        <w:rPr>
          <w:rFonts w:ascii="Arial" w:hAnsi="Arial" w:cs="Arial"/>
          <w:lang w:bidi="th-TH"/>
        </w:rPr>
        <w:t>clinical</w:t>
      </w:r>
      <w:r w:rsidR="00386D8B" w:rsidRPr="00735666">
        <w:rPr>
          <w:rFonts w:ascii="Arial" w:hAnsi="Arial" w:cs="Arial"/>
          <w:lang w:bidi="th-TH"/>
        </w:rPr>
        <w:t xml:space="preserve">, legal and social </w:t>
      </w:r>
      <w:r w:rsidR="004619EB" w:rsidRPr="00735666">
        <w:rPr>
          <w:rFonts w:ascii="Arial" w:hAnsi="Arial" w:cs="Arial"/>
          <w:lang w:bidi="th-TH"/>
        </w:rPr>
        <w:t>developments in the field.</w:t>
      </w:r>
      <w:r w:rsidR="002E6F37" w:rsidRPr="00735666">
        <w:rPr>
          <w:rFonts w:ascii="Arial" w:hAnsi="Arial" w:cs="Arial"/>
          <w:lang w:bidi="th-TH"/>
        </w:rPr>
        <w:t xml:space="preserve"> </w:t>
      </w:r>
      <w:r w:rsidRPr="00735666">
        <w:rPr>
          <w:rFonts w:ascii="Arial" w:hAnsi="Arial" w:cs="Arial"/>
          <w:lang w:bidi="th-TH"/>
        </w:rPr>
        <w:t xml:space="preserve">The results of </w:t>
      </w:r>
      <w:r w:rsidR="00E92191" w:rsidRPr="00735666">
        <w:rPr>
          <w:rFonts w:ascii="Arial" w:hAnsi="Arial" w:cs="Arial"/>
          <w:lang w:bidi="th-TH"/>
        </w:rPr>
        <w:t xml:space="preserve">the consultation </w:t>
      </w:r>
      <w:r w:rsidRPr="00735666">
        <w:rPr>
          <w:rFonts w:ascii="Arial" w:hAnsi="Arial" w:cs="Arial"/>
          <w:lang w:bidi="th-TH"/>
        </w:rPr>
        <w:t xml:space="preserve">process were presented, reviewed, and adopted as set forth in this document in Madrid in July 2018 during the International Congress of TTS. </w:t>
      </w:r>
    </w:p>
    <w:p w14:paraId="1FCDFA20" w14:textId="77777777" w:rsidR="00D66FCE" w:rsidRPr="00735666" w:rsidRDefault="00D66FCE" w:rsidP="00190A12">
      <w:pPr>
        <w:jc w:val="both"/>
        <w:rPr>
          <w:rFonts w:ascii="Arial" w:hAnsi="Arial" w:cs="Arial"/>
          <w:lang w:bidi="th-TH"/>
        </w:rPr>
      </w:pPr>
    </w:p>
    <w:p w14:paraId="02896232" w14:textId="18E8388B" w:rsidR="00190A12" w:rsidRPr="00735666" w:rsidRDefault="00190A12" w:rsidP="00190A12">
      <w:pPr>
        <w:jc w:val="both"/>
        <w:rPr>
          <w:rFonts w:ascii="Arial" w:eastAsia="Times New Roman" w:hAnsi="Arial" w:cs="Arial"/>
        </w:rPr>
      </w:pPr>
      <w:r w:rsidRPr="00735666">
        <w:rPr>
          <w:rFonts w:ascii="Arial" w:eastAsia="Times New Roman" w:hAnsi="Arial" w:cs="Arial"/>
        </w:rPr>
        <w:lastRenderedPageBreak/>
        <w:t>The Declaration should be read as a whole and each principle should be applied in light of all the other principle</w:t>
      </w:r>
      <w:r w:rsidR="006C1DD5" w:rsidRPr="00735666">
        <w:rPr>
          <w:rFonts w:ascii="Arial" w:eastAsia="Times New Roman" w:hAnsi="Arial" w:cs="Arial"/>
        </w:rPr>
        <w:t>s</w:t>
      </w:r>
      <w:r w:rsidR="00F84C91" w:rsidRPr="00735666">
        <w:rPr>
          <w:rFonts w:ascii="Arial" w:eastAsia="Times New Roman" w:hAnsi="Arial" w:cs="Arial"/>
        </w:rPr>
        <w:t xml:space="preserve"> which are equally important</w:t>
      </w:r>
      <w:r w:rsidRPr="00735666">
        <w:rPr>
          <w:rFonts w:ascii="Arial" w:eastAsia="Times New Roman" w:hAnsi="Arial" w:cs="Arial"/>
        </w:rPr>
        <w:t>.</w:t>
      </w:r>
      <w:r w:rsidR="001F3A9E" w:rsidRPr="00735666">
        <w:rPr>
          <w:rFonts w:ascii="Arial" w:eastAsia="Times New Roman" w:hAnsi="Arial" w:cs="Arial"/>
        </w:rPr>
        <w:t xml:space="preserve"> </w:t>
      </w:r>
      <w:r w:rsidR="00C75103" w:rsidRPr="00735666">
        <w:rPr>
          <w:rFonts w:ascii="Arial" w:eastAsia="Times New Roman" w:hAnsi="Arial" w:cs="Arial"/>
        </w:rPr>
        <w:t>The accompanying Commentary Paper explains and elaborates the text of the Declaration and suggests strategies for implementation.</w:t>
      </w:r>
    </w:p>
    <w:p w14:paraId="6B88CA97" w14:textId="77777777" w:rsidR="00190A12" w:rsidRPr="00735666" w:rsidRDefault="00190A12" w:rsidP="00190A12">
      <w:pPr>
        <w:spacing w:line="360" w:lineRule="auto"/>
        <w:jc w:val="both"/>
        <w:outlineLvl w:val="0"/>
        <w:rPr>
          <w:rFonts w:ascii="Arial" w:hAnsi="Arial" w:cs="Arial"/>
          <w:b/>
          <w:u w:val="single"/>
        </w:rPr>
      </w:pPr>
    </w:p>
    <w:p w14:paraId="79D0E60F" w14:textId="77777777" w:rsidR="00190A12" w:rsidRPr="00735666" w:rsidRDefault="00190A12" w:rsidP="00190A12">
      <w:pPr>
        <w:spacing w:line="360" w:lineRule="auto"/>
        <w:jc w:val="both"/>
        <w:outlineLvl w:val="0"/>
        <w:rPr>
          <w:rFonts w:ascii="Arial" w:hAnsi="Arial" w:cs="Arial"/>
          <w:b/>
          <w:u w:val="single"/>
        </w:rPr>
      </w:pPr>
      <w:r w:rsidRPr="00735666">
        <w:rPr>
          <w:rFonts w:ascii="Arial" w:hAnsi="Arial" w:cs="Arial"/>
          <w:b/>
          <w:u w:val="single"/>
        </w:rPr>
        <w:t xml:space="preserve">Definitions </w:t>
      </w:r>
    </w:p>
    <w:p w14:paraId="5E16D13F" w14:textId="77777777" w:rsidR="00190A12" w:rsidRPr="00735666" w:rsidRDefault="00190A12" w:rsidP="00190A12">
      <w:pPr>
        <w:spacing w:afterLines="120" w:after="288"/>
        <w:jc w:val="both"/>
        <w:outlineLvl w:val="0"/>
        <w:rPr>
          <w:rFonts w:ascii="Arial" w:hAnsi="Arial" w:cs="Arial"/>
        </w:rPr>
      </w:pPr>
      <w:r w:rsidRPr="00735666">
        <w:rPr>
          <w:rFonts w:ascii="Arial" w:hAnsi="Arial" w:cs="Arial"/>
        </w:rPr>
        <w:t>The following terms have specified meanings in the context of this document.</w:t>
      </w:r>
    </w:p>
    <w:p w14:paraId="2F6B1834" w14:textId="54F51094" w:rsidR="00546B4E" w:rsidRPr="00735666" w:rsidRDefault="00190A12" w:rsidP="00190A12">
      <w:pPr>
        <w:spacing w:afterLines="120" w:after="288"/>
        <w:jc w:val="both"/>
        <w:rPr>
          <w:rFonts w:ascii="Arial" w:hAnsi="Arial" w:cs="Arial"/>
        </w:rPr>
      </w:pPr>
      <w:r w:rsidRPr="00735666">
        <w:rPr>
          <w:rFonts w:ascii="Arial" w:hAnsi="Arial" w:cs="Arial"/>
          <w:b/>
          <w:color w:val="000000" w:themeColor="text1"/>
          <w:szCs w:val="40"/>
        </w:rPr>
        <w:t>Organ trafficking</w:t>
      </w:r>
      <w:r w:rsidRPr="00735666">
        <w:rPr>
          <w:rFonts w:ascii="Arial" w:hAnsi="Arial" w:cs="Arial"/>
          <w:color w:val="000000" w:themeColor="text1"/>
          <w:szCs w:val="40"/>
        </w:rPr>
        <w:t xml:space="preserve"> </w:t>
      </w:r>
      <w:r w:rsidRPr="00735666">
        <w:rPr>
          <w:rFonts w:ascii="Arial" w:hAnsi="Arial" w:cs="Arial"/>
        </w:rPr>
        <w:t>consists of any of the following activities:</w:t>
      </w:r>
    </w:p>
    <w:p w14:paraId="4BA6EDB4" w14:textId="5E39A132" w:rsidR="00546B4E" w:rsidRPr="00735666" w:rsidRDefault="00190A12" w:rsidP="00C2751B">
      <w:pPr>
        <w:pStyle w:val="ListParagraph"/>
        <w:numPr>
          <w:ilvl w:val="0"/>
          <w:numId w:val="3"/>
        </w:numPr>
        <w:spacing w:afterLines="120" w:after="288"/>
        <w:jc w:val="both"/>
        <w:rPr>
          <w:rFonts w:ascii="Arial" w:eastAsia="Times New Roman" w:hAnsi="Arial" w:cs="Arial"/>
          <w:color w:val="000000"/>
        </w:rPr>
      </w:pPr>
      <w:r w:rsidRPr="00735666">
        <w:rPr>
          <w:rFonts w:ascii="Arial" w:eastAsia="Times New Roman" w:hAnsi="Arial" w:cs="Arial"/>
          <w:color w:val="000000"/>
        </w:rPr>
        <w:t xml:space="preserve">removing organs from living or deceased donors without </w:t>
      </w:r>
      <w:r w:rsidR="00C2751B" w:rsidRPr="00735666">
        <w:rPr>
          <w:rFonts w:ascii="Arial" w:eastAsia="Times New Roman" w:hAnsi="Arial" w:cs="Arial"/>
          <w:color w:val="000000"/>
        </w:rPr>
        <w:t>valid</w:t>
      </w:r>
      <w:r w:rsidRPr="00735666">
        <w:rPr>
          <w:rFonts w:ascii="Arial" w:eastAsia="Times New Roman" w:hAnsi="Arial" w:cs="Arial"/>
          <w:color w:val="000000"/>
        </w:rPr>
        <w:t xml:space="preserve"> consent or authorisation or in exchange for financial gain or comparable advantage to</w:t>
      </w:r>
      <w:r w:rsidRPr="00735666">
        <w:rPr>
          <w:rStyle w:val="apple-converted-space"/>
          <w:rFonts w:ascii="Arial" w:eastAsia="Times New Roman" w:hAnsi="Arial" w:cs="Arial"/>
          <w:color w:val="000000"/>
        </w:rPr>
        <w:t> </w:t>
      </w:r>
      <w:r w:rsidRPr="00735666">
        <w:rPr>
          <w:rFonts w:ascii="Arial" w:eastAsia="Times New Roman" w:hAnsi="Arial" w:cs="Arial"/>
          <w:color w:val="000000"/>
        </w:rPr>
        <w:t>the donor</w:t>
      </w:r>
      <w:r w:rsidR="001A4E68" w:rsidRPr="00735666">
        <w:rPr>
          <w:rFonts w:ascii="Arial" w:eastAsia="Times New Roman" w:hAnsi="Arial" w:cs="Arial"/>
          <w:color w:val="000000"/>
        </w:rPr>
        <w:t xml:space="preserve"> and/or a third person</w:t>
      </w:r>
      <w:r w:rsidR="00546B4E" w:rsidRPr="00735666">
        <w:rPr>
          <w:rFonts w:ascii="Arial" w:eastAsia="Times New Roman" w:hAnsi="Arial" w:cs="Arial"/>
          <w:color w:val="000000"/>
        </w:rPr>
        <w:t>;</w:t>
      </w:r>
    </w:p>
    <w:p w14:paraId="09E47616" w14:textId="788DDDD3" w:rsidR="00546B4E" w:rsidRPr="00735666" w:rsidRDefault="00190A12" w:rsidP="00C2751B">
      <w:pPr>
        <w:pStyle w:val="ListParagraph"/>
        <w:numPr>
          <w:ilvl w:val="0"/>
          <w:numId w:val="3"/>
        </w:numPr>
        <w:spacing w:afterLines="120" w:after="288"/>
        <w:jc w:val="both"/>
        <w:rPr>
          <w:rFonts w:ascii="Arial" w:hAnsi="Arial" w:cs="Arial"/>
          <w:color w:val="FFC000"/>
        </w:rPr>
      </w:pPr>
      <w:r w:rsidRPr="00735666">
        <w:rPr>
          <w:rFonts w:ascii="Arial" w:eastAsia="Times New Roman" w:hAnsi="Arial" w:cs="Arial"/>
          <w:color w:val="000000"/>
        </w:rPr>
        <w:t xml:space="preserve">any transportation, manipulation, </w:t>
      </w:r>
      <w:r w:rsidR="00546B4E" w:rsidRPr="00735666">
        <w:rPr>
          <w:rFonts w:ascii="Arial" w:eastAsia="Times New Roman" w:hAnsi="Arial" w:cs="Arial"/>
          <w:color w:val="000000"/>
        </w:rPr>
        <w:t xml:space="preserve">transplantation </w:t>
      </w:r>
      <w:r w:rsidRPr="00735666">
        <w:rPr>
          <w:rFonts w:ascii="Arial" w:eastAsia="Times New Roman" w:hAnsi="Arial" w:cs="Arial"/>
          <w:color w:val="000000"/>
        </w:rPr>
        <w:t xml:space="preserve">or </w:t>
      </w:r>
      <w:r w:rsidR="00546B4E" w:rsidRPr="00735666">
        <w:rPr>
          <w:rFonts w:ascii="Arial" w:eastAsia="Times New Roman" w:hAnsi="Arial" w:cs="Arial"/>
          <w:color w:val="000000"/>
        </w:rPr>
        <w:t xml:space="preserve">other </w:t>
      </w:r>
      <w:r w:rsidRPr="00735666">
        <w:rPr>
          <w:rFonts w:ascii="Arial" w:eastAsia="Times New Roman" w:hAnsi="Arial" w:cs="Arial"/>
          <w:color w:val="000000"/>
        </w:rPr>
        <w:t>use of such organs</w:t>
      </w:r>
      <w:r w:rsidR="00546B4E" w:rsidRPr="00735666">
        <w:rPr>
          <w:rFonts w:ascii="Arial" w:eastAsia="Times New Roman" w:hAnsi="Arial" w:cs="Arial"/>
          <w:color w:val="000000"/>
        </w:rPr>
        <w:t>;</w:t>
      </w:r>
    </w:p>
    <w:p w14:paraId="36EEFDEA" w14:textId="7583DE30" w:rsidR="00546B4E" w:rsidRPr="00735666" w:rsidRDefault="00190A12" w:rsidP="00C2751B">
      <w:pPr>
        <w:pStyle w:val="ListParagraph"/>
        <w:numPr>
          <w:ilvl w:val="0"/>
          <w:numId w:val="3"/>
        </w:numPr>
        <w:spacing w:afterLines="120" w:after="288"/>
        <w:jc w:val="both"/>
        <w:rPr>
          <w:rFonts w:ascii="Arial" w:hAnsi="Arial" w:cs="Arial"/>
          <w:color w:val="FFC000"/>
        </w:rPr>
      </w:pPr>
      <w:r w:rsidRPr="00735666">
        <w:rPr>
          <w:rFonts w:ascii="Arial" w:eastAsia="Times New Roman" w:hAnsi="Arial" w:cs="Arial"/>
          <w:color w:val="000000"/>
        </w:rPr>
        <w:t>offering any undue advantage to, or requesting the same</w:t>
      </w:r>
      <w:r w:rsidRPr="00735666">
        <w:rPr>
          <w:rStyle w:val="apple-converted-space"/>
          <w:rFonts w:ascii="Arial" w:eastAsia="Times New Roman" w:hAnsi="Arial" w:cs="Arial"/>
          <w:color w:val="000000"/>
        </w:rPr>
        <w:t> </w:t>
      </w:r>
      <w:r w:rsidR="008D3960" w:rsidRPr="00735666">
        <w:rPr>
          <w:rFonts w:ascii="Arial" w:eastAsia="Times New Roman" w:hAnsi="Arial" w:cs="Arial"/>
          <w:color w:val="000000"/>
        </w:rPr>
        <w:t>by</w:t>
      </w:r>
      <w:r w:rsidRPr="00735666">
        <w:rPr>
          <w:rFonts w:ascii="Arial" w:eastAsia="Times New Roman" w:hAnsi="Arial" w:cs="Arial"/>
          <w:color w:val="000000"/>
        </w:rPr>
        <w:t>, a healthcare professional, public official, or employee of a private sector entity to facilitate or perform such removal or use</w:t>
      </w:r>
      <w:r w:rsidR="00546B4E" w:rsidRPr="00735666">
        <w:rPr>
          <w:rFonts w:ascii="Arial" w:eastAsia="Times New Roman" w:hAnsi="Arial" w:cs="Arial"/>
          <w:color w:val="000000"/>
        </w:rPr>
        <w:t>;</w:t>
      </w:r>
    </w:p>
    <w:p w14:paraId="572FA2B5" w14:textId="5EEFBF10" w:rsidR="00546B4E" w:rsidRPr="00735666" w:rsidRDefault="00190A12" w:rsidP="008D3960">
      <w:pPr>
        <w:pStyle w:val="ListParagraph"/>
        <w:numPr>
          <w:ilvl w:val="0"/>
          <w:numId w:val="3"/>
        </w:numPr>
        <w:spacing w:afterLines="120" w:after="288"/>
        <w:jc w:val="both"/>
        <w:rPr>
          <w:rFonts w:ascii="Arial" w:hAnsi="Arial" w:cs="Arial"/>
          <w:color w:val="FFC000"/>
        </w:rPr>
      </w:pPr>
      <w:r w:rsidRPr="00735666">
        <w:rPr>
          <w:rFonts w:ascii="Arial" w:eastAsia="Times New Roman" w:hAnsi="Arial" w:cs="Arial"/>
          <w:color w:val="000000"/>
        </w:rPr>
        <w:t>soliciting or recruiting donors or recipients, where carried out for financial gain or comparable advantage</w:t>
      </w:r>
      <w:r w:rsidR="00546B4E" w:rsidRPr="00735666">
        <w:rPr>
          <w:rFonts w:ascii="Arial" w:eastAsia="Times New Roman" w:hAnsi="Arial" w:cs="Arial"/>
          <w:color w:val="000000"/>
        </w:rPr>
        <w:t>; or</w:t>
      </w:r>
    </w:p>
    <w:p w14:paraId="2C664B35" w14:textId="2E81AABF" w:rsidR="00190A12" w:rsidRPr="00735666" w:rsidRDefault="00190A12" w:rsidP="008D3960">
      <w:pPr>
        <w:pStyle w:val="ListParagraph"/>
        <w:numPr>
          <w:ilvl w:val="0"/>
          <w:numId w:val="3"/>
        </w:numPr>
        <w:spacing w:afterLines="120" w:after="288"/>
        <w:jc w:val="both"/>
        <w:rPr>
          <w:rFonts w:ascii="Arial" w:hAnsi="Arial" w:cs="Arial"/>
          <w:color w:val="FFC000"/>
        </w:rPr>
      </w:pPr>
      <w:r w:rsidRPr="00735666">
        <w:rPr>
          <w:rFonts w:ascii="Arial" w:eastAsia="Times New Roman" w:hAnsi="Arial" w:cs="Arial"/>
          <w:color w:val="000000"/>
        </w:rPr>
        <w:t xml:space="preserve">attempting to commit, or </w:t>
      </w:r>
      <w:r w:rsidR="00546B4E" w:rsidRPr="00735666">
        <w:rPr>
          <w:rFonts w:ascii="Arial" w:eastAsia="Times New Roman" w:hAnsi="Arial" w:cs="Arial"/>
          <w:color w:val="000000"/>
        </w:rPr>
        <w:t xml:space="preserve">aiding or </w:t>
      </w:r>
      <w:r w:rsidRPr="00735666">
        <w:rPr>
          <w:rFonts w:ascii="Arial" w:eastAsia="Times New Roman" w:hAnsi="Arial" w:cs="Arial"/>
          <w:color w:val="000000"/>
        </w:rPr>
        <w:t>abetting the commission of, any of these acts.</w:t>
      </w:r>
      <w:r w:rsidRPr="00735666">
        <w:rPr>
          <w:rStyle w:val="FootnoteReference"/>
          <w:rFonts w:ascii="Arial" w:eastAsia="Times New Roman" w:hAnsi="Arial" w:cs="Arial"/>
          <w:color w:val="000000"/>
          <w:szCs w:val="20"/>
        </w:rPr>
        <w:footnoteReference w:id="1"/>
      </w:r>
    </w:p>
    <w:p w14:paraId="6B600A9D" w14:textId="6D8E7F6C" w:rsidR="00190A12" w:rsidRPr="00735666" w:rsidRDefault="00190A12" w:rsidP="00190A12">
      <w:pPr>
        <w:spacing w:afterLines="120" w:after="288"/>
        <w:jc w:val="both"/>
        <w:rPr>
          <w:rFonts w:ascii="Arial" w:hAnsi="Arial" w:cs="Arial"/>
        </w:rPr>
      </w:pPr>
      <w:r w:rsidRPr="00735666">
        <w:rPr>
          <w:rFonts w:ascii="Arial" w:eastAsia="Times New Roman" w:hAnsi="Arial" w:cs="Arial"/>
          <w:b/>
          <w:bCs/>
          <w:lang w:eastAsia="es-ES"/>
        </w:rPr>
        <w:t>Trafficking in persons for the purpose of organ removal</w:t>
      </w:r>
      <w:r w:rsidRPr="00735666">
        <w:rPr>
          <w:rFonts w:ascii="Arial" w:eastAsia="Times New Roman" w:hAnsi="Arial" w:cs="Arial"/>
          <w:lang w:eastAsia="es-ES"/>
        </w:rPr>
        <w:t xml:space="preserve"> is the recruitment, transportation, transfer, harbouring</w:t>
      </w:r>
      <w:r w:rsidR="007A4B0D" w:rsidRPr="00735666">
        <w:rPr>
          <w:rFonts w:ascii="Arial" w:eastAsia="Times New Roman" w:hAnsi="Arial" w:cs="Arial"/>
          <w:lang w:eastAsia="es-ES"/>
        </w:rPr>
        <w:t>,</w:t>
      </w:r>
      <w:r w:rsidRPr="00735666">
        <w:rPr>
          <w:rFonts w:ascii="Arial" w:eastAsia="Times New Roman" w:hAnsi="Arial" w:cs="Arial"/>
          <w:lang w:eastAsia="es-ES"/>
        </w:rPr>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the removal of organs.</w:t>
      </w:r>
      <w:r w:rsidRPr="00735666">
        <w:rPr>
          <w:rStyle w:val="FootnoteReference"/>
          <w:rFonts w:ascii="Arial" w:eastAsia="Times New Roman" w:hAnsi="Arial" w:cs="Arial"/>
          <w:lang w:eastAsia="es-ES"/>
        </w:rPr>
        <w:footnoteReference w:id="2"/>
      </w:r>
    </w:p>
    <w:p w14:paraId="5E842B7C" w14:textId="60005493" w:rsidR="00190A12" w:rsidRPr="00735666" w:rsidRDefault="00190A12" w:rsidP="00190A12">
      <w:pPr>
        <w:spacing w:afterLines="120" w:after="288"/>
        <w:jc w:val="both"/>
        <w:rPr>
          <w:rFonts w:ascii="Arial" w:hAnsi="Arial" w:cs="Arial"/>
          <w:szCs w:val="20"/>
        </w:rPr>
      </w:pPr>
      <w:r w:rsidRPr="00735666">
        <w:rPr>
          <w:rFonts w:ascii="Arial" w:hAnsi="Arial" w:cs="Arial"/>
        </w:rPr>
        <w:t xml:space="preserve">In the context of this Declaration, the term </w:t>
      </w:r>
      <w:r w:rsidRPr="00735666">
        <w:rPr>
          <w:rFonts w:ascii="Arial" w:hAnsi="Arial" w:cs="Arial"/>
          <w:b/>
        </w:rPr>
        <w:t>resident</w:t>
      </w:r>
      <w:r w:rsidRPr="00735666">
        <w:rPr>
          <w:rFonts w:ascii="Arial" w:hAnsi="Arial" w:cs="Arial"/>
          <w:sz w:val="20"/>
          <w:szCs w:val="20"/>
        </w:rPr>
        <w:t xml:space="preserve"> </w:t>
      </w:r>
      <w:r w:rsidRPr="00735666">
        <w:rPr>
          <w:rFonts w:ascii="Arial" w:hAnsi="Arial" w:cs="Arial"/>
          <w:szCs w:val="20"/>
        </w:rPr>
        <w:t xml:space="preserve">denotes a person who makes </w:t>
      </w:r>
      <w:r w:rsidR="009965FB" w:rsidRPr="00735666">
        <w:rPr>
          <w:rFonts w:ascii="Arial" w:hAnsi="Arial" w:cs="Arial"/>
          <w:szCs w:val="20"/>
        </w:rPr>
        <w:t>their</w:t>
      </w:r>
      <w:r w:rsidRPr="00735666">
        <w:rPr>
          <w:rFonts w:ascii="Arial" w:hAnsi="Arial" w:cs="Arial"/>
          <w:szCs w:val="20"/>
        </w:rPr>
        <w:t xml:space="preserve"> life within a country, whether or not as a citizen; </w:t>
      </w:r>
      <w:r w:rsidR="006D65AF" w:rsidRPr="00735666">
        <w:rPr>
          <w:rFonts w:ascii="Arial" w:hAnsi="Arial" w:cs="Arial"/>
          <w:szCs w:val="20"/>
        </w:rPr>
        <w:t xml:space="preserve">the term </w:t>
      </w:r>
      <w:r w:rsidR="006D65AF" w:rsidRPr="00735666">
        <w:rPr>
          <w:rFonts w:ascii="Arial" w:hAnsi="Arial" w:cs="Arial"/>
          <w:b/>
          <w:szCs w:val="20"/>
        </w:rPr>
        <w:t>non-resident</w:t>
      </w:r>
      <w:r w:rsidRPr="00735666">
        <w:rPr>
          <w:rFonts w:ascii="Arial" w:hAnsi="Arial" w:cs="Arial"/>
          <w:szCs w:val="20"/>
        </w:rPr>
        <w:t xml:space="preserve"> </w:t>
      </w:r>
      <w:r w:rsidR="006D65AF" w:rsidRPr="00735666">
        <w:rPr>
          <w:rFonts w:ascii="Arial" w:hAnsi="Arial" w:cs="Arial"/>
          <w:szCs w:val="20"/>
        </w:rPr>
        <w:t xml:space="preserve">denotes all persons who are not residents, including those </w:t>
      </w:r>
      <w:r w:rsidRPr="00735666">
        <w:rPr>
          <w:rFonts w:ascii="Arial" w:hAnsi="Arial" w:cs="Arial"/>
          <w:szCs w:val="20"/>
        </w:rPr>
        <w:t>who travel to, and then reside temporarily within, a country for the purpose of obtaining a transplant.</w:t>
      </w:r>
    </w:p>
    <w:p w14:paraId="3112A65E" w14:textId="7D389BF6" w:rsidR="00F5348C" w:rsidRPr="00735666" w:rsidRDefault="00190A12" w:rsidP="00190A12">
      <w:pPr>
        <w:spacing w:afterLines="120" w:after="288"/>
        <w:jc w:val="both"/>
        <w:rPr>
          <w:rFonts w:ascii="Arial" w:hAnsi="Arial" w:cs="Arial"/>
          <w:b/>
        </w:rPr>
      </w:pPr>
      <w:r w:rsidRPr="00735666">
        <w:rPr>
          <w:rFonts w:ascii="Arial" w:hAnsi="Arial" w:cs="Arial"/>
          <w:b/>
          <w:bCs/>
        </w:rPr>
        <w:t>Travel for transplantation</w:t>
      </w:r>
      <w:r w:rsidRPr="00735666">
        <w:rPr>
          <w:rFonts w:ascii="Arial" w:hAnsi="Arial" w:cs="Arial"/>
        </w:rPr>
        <w:t xml:space="preserve"> is the movement of persons across jurisdictional</w:t>
      </w:r>
      <w:r w:rsidR="00D32D25" w:rsidRPr="00735666">
        <w:rPr>
          <w:rStyle w:val="FootnoteReference"/>
          <w:rFonts w:ascii="Arial" w:hAnsi="Arial" w:cs="Arial"/>
        </w:rPr>
        <w:footnoteReference w:id="3"/>
      </w:r>
      <w:r w:rsidRPr="00735666">
        <w:rPr>
          <w:rFonts w:ascii="Arial" w:hAnsi="Arial" w:cs="Arial"/>
        </w:rPr>
        <w:t xml:space="preserve"> borders for transplantation purposes. Travel for transplantation becomes </w:t>
      </w:r>
      <w:r w:rsidRPr="00735666">
        <w:rPr>
          <w:rFonts w:ascii="Arial" w:hAnsi="Arial" w:cs="Arial"/>
          <w:b/>
        </w:rPr>
        <w:t>transplant tourism</w:t>
      </w:r>
      <w:r w:rsidR="008D3960" w:rsidRPr="00735666">
        <w:rPr>
          <w:rFonts w:ascii="Arial" w:hAnsi="Arial" w:cs="Arial"/>
          <w:b/>
        </w:rPr>
        <w:t xml:space="preserve">, </w:t>
      </w:r>
      <w:r w:rsidR="008D3960" w:rsidRPr="00735666">
        <w:rPr>
          <w:rFonts w:ascii="Arial" w:hAnsi="Arial" w:cs="Arial"/>
        </w:rPr>
        <w:t>and thus unethical,</w:t>
      </w:r>
      <w:r w:rsidRPr="00735666">
        <w:rPr>
          <w:rFonts w:ascii="Arial" w:hAnsi="Arial" w:cs="Arial"/>
        </w:rPr>
        <w:t xml:space="preserve"> if it involves trafficking in persons for the purpose of organ removal or trafficking in human organs, or if the resources (organs, professionals and </w:t>
      </w:r>
      <w:r w:rsidRPr="00735666">
        <w:rPr>
          <w:rFonts w:ascii="Arial" w:hAnsi="Arial" w:cs="Arial"/>
        </w:rPr>
        <w:lastRenderedPageBreak/>
        <w:t>transplant centres) devoted to providing transplants to non-resident patients undermine the country's ability to provide transplant services for its own population.</w:t>
      </w:r>
    </w:p>
    <w:p w14:paraId="7FD13F5B" w14:textId="7DEE9C89" w:rsidR="00190A12" w:rsidRPr="00735666" w:rsidRDefault="00190A12" w:rsidP="00190A12">
      <w:pPr>
        <w:spacing w:afterLines="120" w:after="288"/>
        <w:jc w:val="both"/>
        <w:rPr>
          <w:rFonts w:ascii="Arial" w:hAnsi="Arial" w:cs="Arial"/>
          <w:color w:val="FFC000"/>
        </w:rPr>
      </w:pPr>
      <w:r w:rsidRPr="00735666">
        <w:rPr>
          <w:rFonts w:ascii="Arial" w:hAnsi="Arial" w:cs="Arial"/>
          <w:b/>
        </w:rPr>
        <w:t>Self-sufficiency in organ donation and transplantation</w:t>
      </w:r>
      <w:r w:rsidRPr="00735666">
        <w:rPr>
          <w:rFonts w:ascii="Arial" w:hAnsi="Arial" w:cs="Arial"/>
        </w:rPr>
        <w:t xml:space="preserve"> means </w:t>
      </w:r>
      <w:r w:rsidRPr="00735666">
        <w:rPr>
          <w:rFonts w:ascii="Arial" w:eastAsia="Times New Roman" w:hAnsi="Arial" w:cs="Arial"/>
          <w:lang w:val="en-US" w:eastAsia="nl-BE"/>
        </w:rPr>
        <w:t xml:space="preserve">meeting the transplant needs of a country </w:t>
      </w:r>
      <w:r w:rsidR="00F5348C" w:rsidRPr="00735666">
        <w:rPr>
          <w:rFonts w:ascii="Arial" w:eastAsia="Times New Roman" w:hAnsi="Arial" w:cs="Arial"/>
          <w:lang w:val="en-US" w:eastAsia="nl-BE"/>
        </w:rPr>
        <w:t>by use of</w:t>
      </w:r>
      <w:r w:rsidR="001F3A9E" w:rsidRPr="00735666">
        <w:rPr>
          <w:rFonts w:ascii="Arial" w:eastAsia="Times New Roman" w:hAnsi="Arial" w:cs="Arial"/>
          <w:lang w:val="en-US" w:eastAsia="nl-BE"/>
        </w:rPr>
        <w:t xml:space="preserve"> donation and transplant services provided within the country</w:t>
      </w:r>
      <w:r w:rsidR="008D3960" w:rsidRPr="00735666">
        <w:rPr>
          <w:rFonts w:ascii="Arial" w:eastAsia="Times New Roman" w:hAnsi="Arial" w:cs="Arial"/>
          <w:lang w:val="en-US" w:eastAsia="nl-BE"/>
        </w:rPr>
        <w:t xml:space="preserve"> and </w:t>
      </w:r>
      <w:r w:rsidRPr="00735666">
        <w:rPr>
          <w:rFonts w:ascii="Arial" w:eastAsia="Times New Roman" w:hAnsi="Arial" w:cs="Arial"/>
          <w:lang w:val="en-US" w:eastAsia="nl-BE"/>
        </w:rPr>
        <w:t xml:space="preserve">organs donated by its </w:t>
      </w:r>
      <w:r w:rsidR="00A53993" w:rsidRPr="00735666">
        <w:rPr>
          <w:rFonts w:ascii="Arial" w:eastAsia="Times New Roman" w:hAnsi="Arial" w:cs="Arial"/>
          <w:lang w:val="en-US" w:eastAsia="nl-BE"/>
        </w:rPr>
        <w:t>residents</w:t>
      </w:r>
      <w:r w:rsidR="00F5348C" w:rsidRPr="00735666">
        <w:rPr>
          <w:rFonts w:ascii="Arial" w:eastAsia="Times New Roman" w:hAnsi="Arial" w:cs="Arial"/>
          <w:lang w:val="en-US" w:eastAsia="nl-BE"/>
        </w:rPr>
        <w:t>, or</w:t>
      </w:r>
      <w:r w:rsidRPr="00735666">
        <w:rPr>
          <w:rFonts w:ascii="Arial" w:eastAsia="Times New Roman" w:hAnsi="Arial" w:cs="Arial"/>
          <w:lang w:val="en-US" w:eastAsia="nl-BE"/>
        </w:rPr>
        <w:t xml:space="preserve"> </w:t>
      </w:r>
      <w:r w:rsidR="00F5348C" w:rsidRPr="00735666">
        <w:rPr>
          <w:rFonts w:ascii="Arial" w:eastAsia="Times New Roman" w:hAnsi="Arial" w:cs="Arial"/>
          <w:lang w:val="en-US" w:eastAsia="nl-BE"/>
        </w:rPr>
        <w:t>by equitably</w:t>
      </w:r>
      <w:r w:rsidRPr="00735666">
        <w:rPr>
          <w:rFonts w:ascii="Arial" w:eastAsia="Times New Roman" w:hAnsi="Arial" w:cs="Arial"/>
          <w:lang w:val="en-US" w:eastAsia="nl-BE"/>
        </w:rPr>
        <w:t xml:space="preserve"> sharing resources with other countries</w:t>
      </w:r>
      <w:r w:rsidR="00A53993" w:rsidRPr="00735666">
        <w:rPr>
          <w:rFonts w:ascii="Arial" w:eastAsia="Times New Roman" w:hAnsi="Arial" w:cs="Arial"/>
          <w:lang w:val="en-US" w:eastAsia="nl-BE"/>
        </w:rPr>
        <w:t xml:space="preserve"> or jurisdictions</w:t>
      </w:r>
      <w:r w:rsidR="00F5348C" w:rsidRPr="00735666">
        <w:rPr>
          <w:rFonts w:ascii="Arial" w:eastAsia="Times New Roman" w:hAnsi="Arial" w:cs="Arial"/>
          <w:lang w:val="en-US" w:eastAsia="nl-BE"/>
        </w:rPr>
        <w:t>.</w:t>
      </w:r>
    </w:p>
    <w:p w14:paraId="0B9685B5" w14:textId="7085CE1C" w:rsidR="00092303" w:rsidRPr="00735666" w:rsidRDefault="00092303" w:rsidP="00092303">
      <w:pPr>
        <w:spacing w:afterLines="120" w:after="288"/>
        <w:jc w:val="both"/>
        <w:rPr>
          <w:rFonts w:ascii="Arial" w:hAnsi="Arial" w:cs="Arial"/>
        </w:rPr>
      </w:pPr>
      <w:r w:rsidRPr="00735666">
        <w:rPr>
          <w:rFonts w:ascii="Arial" w:hAnsi="Arial" w:cs="Arial"/>
          <w:b/>
          <w:lang w:val="en-US"/>
        </w:rPr>
        <w:t>Financial neutrality in organ donation</w:t>
      </w:r>
      <w:r w:rsidRPr="00735666">
        <w:rPr>
          <w:rFonts w:ascii="Arial" w:hAnsi="Arial" w:cs="Arial"/>
          <w:lang w:val="en-US"/>
        </w:rPr>
        <w:t xml:space="preserve"> means that donors and their families neither lose nor gain financially as a result of donation. </w:t>
      </w:r>
    </w:p>
    <w:p w14:paraId="73147CE8" w14:textId="77777777" w:rsidR="00190A12" w:rsidRPr="005C7B95" w:rsidRDefault="00190A12" w:rsidP="00190A12">
      <w:pPr>
        <w:jc w:val="both"/>
        <w:outlineLvl w:val="0"/>
        <w:rPr>
          <w:rFonts w:ascii="Arial" w:hAnsi="Arial" w:cs="Arial"/>
          <w:b/>
          <w:szCs w:val="28"/>
          <w:u w:val="single"/>
        </w:rPr>
      </w:pPr>
      <w:r w:rsidRPr="005C7B95">
        <w:rPr>
          <w:rFonts w:ascii="Arial" w:hAnsi="Arial" w:cs="Arial"/>
          <w:b/>
          <w:szCs w:val="28"/>
          <w:u w:val="single"/>
        </w:rPr>
        <w:t>Principles</w:t>
      </w:r>
    </w:p>
    <w:p w14:paraId="7408D0A1" w14:textId="77777777" w:rsidR="00190A12" w:rsidRPr="00735666" w:rsidRDefault="00190A12" w:rsidP="00190A12">
      <w:pPr>
        <w:jc w:val="both"/>
        <w:outlineLvl w:val="0"/>
        <w:rPr>
          <w:rFonts w:ascii="Arial" w:hAnsi="Arial" w:cs="Arial"/>
          <w:b/>
          <w:sz w:val="28"/>
          <w:szCs w:val="28"/>
          <w:u w:val="single"/>
        </w:rPr>
      </w:pPr>
    </w:p>
    <w:p w14:paraId="1138B68A" w14:textId="77777777" w:rsidR="00190A12" w:rsidRPr="00735666" w:rsidRDefault="00190A12" w:rsidP="00190A12">
      <w:pPr>
        <w:pStyle w:val="ListParagraph"/>
        <w:numPr>
          <w:ilvl w:val="0"/>
          <w:numId w:val="1"/>
        </w:numPr>
        <w:rPr>
          <w:rFonts w:ascii="Arial" w:hAnsi="Arial" w:cs="Arial"/>
          <w:sz w:val="22"/>
          <w:szCs w:val="22"/>
        </w:rPr>
      </w:pPr>
      <w:r w:rsidRPr="00735666">
        <w:rPr>
          <w:rFonts w:ascii="Arial" w:hAnsi="Arial" w:cs="Arial"/>
        </w:rPr>
        <w:t>Governments should develop and implement ethically and clinically sound programs for the prevention and treatment of organ failure, consistent with meeting the overall healthcare needs of their populations</w:t>
      </w:r>
      <w:r w:rsidRPr="00735666">
        <w:rPr>
          <w:rFonts w:ascii="Arial" w:hAnsi="Arial" w:cs="Arial"/>
          <w:sz w:val="22"/>
          <w:szCs w:val="22"/>
        </w:rPr>
        <w:t xml:space="preserve">. </w:t>
      </w:r>
    </w:p>
    <w:p w14:paraId="47BF7DF6" w14:textId="77777777" w:rsidR="00190A12" w:rsidRPr="00735666" w:rsidRDefault="00190A12" w:rsidP="00190A12">
      <w:pPr>
        <w:pStyle w:val="ListParagraph"/>
        <w:rPr>
          <w:rFonts w:ascii="Arial" w:hAnsi="Arial" w:cs="Arial"/>
        </w:rPr>
      </w:pPr>
    </w:p>
    <w:p w14:paraId="18501831" w14:textId="42C985A3" w:rsidR="00190A12" w:rsidRPr="00735666" w:rsidRDefault="0009338B" w:rsidP="0009338B">
      <w:pPr>
        <w:pStyle w:val="CommentText"/>
        <w:numPr>
          <w:ilvl w:val="0"/>
          <w:numId w:val="1"/>
        </w:numPr>
        <w:rPr>
          <w:rFonts w:ascii="Arial" w:hAnsi="Arial" w:cs="Arial"/>
          <w:sz w:val="24"/>
          <w:szCs w:val="24"/>
        </w:rPr>
      </w:pPr>
      <w:r w:rsidRPr="00735666">
        <w:rPr>
          <w:rFonts w:ascii="Arial" w:hAnsi="Arial" w:cs="Arial"/>
          <w:sz w:val="24"/>
          <w:szCs w:val="24"/>
        </w:rPr>
        <w:t>The optimal care of organ donors and transplant recipients should be a primary goal of transplant policies and programs.</w:t>
      </w:r>
    </w:p>
    <w:p w14:paraId="53BCD0C3" w14:textId="77777777" w:rsidR="00190A12" w:rsidRPr="00735666" w:rsidRDefault="00190A12" w:rsidP="00190A12">
      <w:pPr>
        <w:pStyle w:val="ListParagraph"/>
        <w:rPr>
          <w:rFonts w:ascii="Arial" w:hAnsi="Arial" w:cs="Arial"/>
        </w:rPr>
      </w:pPr>
    </w:p>
    <w:p w14:paraId="46759921" w14:textId="75AE1118" w:rsidR="0009338B" w:rsidRPr="00735666" w:rsidRDefault="00190A12" w:rsidP="004A5AEE">
      <w:pPr>
        <w:pStyle w:val="ListParagraph"/>
        <w:numPr>
          <w:ilvl w:val="0"/>
          <w:numId w:val="1"/>
        </w:numPr>
        <w:rPr>
          <w:rFonts w:ascii="Arial" w:hAnsi="Arial" w:cs="Arial"/>
          <w:lang w:val="en-US"/>
        </w:rPr>
      </w:pPr>
      <w:r w:rsidRPr="00735666">
        <w:rPr>
          <w:rFonts w:ascii="Arial" w:hAnsi="Arial" w:cs="Arial"/>
        </w:rPr>
        <w:t>Trafficking</w:t>
      </w:r>
      <w:r w:rsidRPr="00735666">
        <w:rPr>
          <w:rFonts w:ascii="Arial" w:hAnsi="Arial" w:cs="Arial"/>
          <w:lang w:val="en-US"/>
        </w:rPr>
        <w:t xml:space="preserve"> in human organs and trafficking in persons for the purpose of organ removal should be prohibited and criminalized</w:t>
      </w:r>
      <w:r w:rsidR="0009338B" w:rsidRPr="00735666">
        <w:rPr>
          <w:rFonts w:ascii="Arial" w:hAnsi="Arial" w:cs="Arial"/>
          <w:lang w:val="en-US"/>
        </w:rPr>
        <w:t>.</w:t>
      </w:r>
    </w:p>
    <w:p w14:paraId="0FB0BEF1" w14:textId="67F90BC3" w:rsidR="00190A12" w:rsidRPr="00735666" w:rsidRDefault="009A6BD8" w:rsidP="0009338B">
      <w:pPr>
        <w:rPr>
          <w:rFonts w:ascii="Arial" w:hAnsi="Arial" w:cs="Arial"/>
          <w:lang w:val="en-US"/>
        </w:rPr>
      </w:pPr>
      <w:r w:rsidRPr="00735666">
        <w:rPr>
          <w:rFonts w:ascii="Arial" w:hAnsi="Arial" w:cs="Arial"/>
          <w:lang w:val="en-US"/>
        </w:rPr>
        <w:t xml:space="preserve"> </w:t>
      </w:r>
    </w:p>
    <w:p w14:paraId="0A99E87D" w14:textId="77777777" w:rsidR="00190A12" w:rsidRPr="00735666" w:rsidRDefault="00190A12" w:rsidP="00190A12">
      <w:pPr>
        <w:pStyle w:val="ListParagraph"/>
        <w:numPr>
          <w:ilvl w:val="0"/>
          <w:numId w:val="1"/>
        </w:numPr>
        <w:rPr>
          <w:rFonts w:ascii="Arial" w:hAnsi="Arial" w:cs="Arial"/>
          <w:lang w:val="en-US"/>
        </w:rPr>
      </w:pPr>
      <w:r w:rsidRPr="00735666">
        <w:rPr>
          <w:rFonts w:ascii="Arial" w:hAnsi="Arial" w:cs="Arial"/>
          <w:lang w:val="en-US"/>
        </w:rPr>
        <w:t xml:space="preserve">Organ donation should be a financially neutral act. </w:t>
      </w:r>
    </w:p>
    <w:p w14:paraId="4D78BB15" w14:textId="77777777" w:rsidR="00190A12" w:rsidRPr="00735666" w:rsidRDefault="00190A12" w:rsidP="00190A12">
      <w:pPr>
        <w:pStyle w:val="ListParagraph"/>
        <w:rPr>
          <w:rFonts w:ascii="Arial" w:hAnsi="Arial" w:cs="Arial"/>
        </w:rPr>
      </w:pPr>
    </w:p>
    <w:p w14:paraId="2BADECE5" w14:textId="66D33263" w:rsidR="00190A12" w:rsidRPr="00735666" w:rsidRDefault="00190A12" w:rsidP="00190A12">
      <w:pPr>
        <w:pStyle w:val="ListParagraph"/>
        <w:numPr>
          <w:ilvl w:val="0"/>
          <w:numId w:val="1"/>
        </w:numPr>
        <w:rPr>
          <w:rFonts w:ascii="Arial" w:hAnsi="Arial" w:cs="Arial"/>
          <w:lang w:val="en-US"/>
        </w:rPr>
      </w:pPr>
      <w:r w:rsidRPr="00735666">
        <w:rPr>
          <w:rFonts w:ascii="Arial" w:hAnsi="Arial" w:cs="Arial"/>
        </w:rPr>
        <w:t xml:space="preserve">Each country or jurisdiction should develop and implement legislation and regulations to govern the </w:t>
      </w:r>
      <w:r w:rsidR="00735666" w:rsidRPr="00735666">
        <w:rPr>
          <w:rFonts w:ascii="Arial" w:hAnsi="Arial" w:cs="Arial"/>
        </w:rPr>
        <w:t>recovery</w:t>
      </w:r>
      <w:r w:rsidR="00543F0C" w:rsidRPr="00735666">
        <w:rPr>
          <w:rFonts w:ascii="Arial" w:hAnsi="Arial" w:cs="Arial"/>
        </w:rPr>
        <w:t xml:space="preserve"> </w:t>
      </w:r>
      <w:r w:rsidRPr="00735666">
        <w:rPr>
          <w:rFonts w:ascii="Arial" w:hAnsi="Arial" w:cs="Arial"/>
        </w:rPr>
        <w:t>of organs from deceased and living donors and the practice of transplantation, consistent with international standards.</w:t>
      </w:r>
    </w:p>
    <w:p w14:paraId="4A65E5FB" w14:textId="77777777" w:rsidR="00190A12" w:rsidRPr="00735666" w:rsidRDefault="00190A12" w:rsidP="00190A12">
      <w:pPr>
        <w:rPr>
          <w:rFonts w:ascii="Arial" w:hAnsi="Arial" w:cs="Arial"/>
          <w:lang w:val="en-US"/>
        </w:rPr>
      </w:pPr>
    </w:p>
    <w:p w14:paraId="4234B164" w14:textId="04E3E134" w:rsidR="00190A12" w:rsidRPr="00735666" w:rsidRDefault="00190A12" w:rsidP="00190A12">
      <w:pPr>
        <w:pStyle w:val="ListParagraph"/>
        <w:numPr>
          <w:ilvl w:val="0"/>
          <w:numId w:val="1"/>
        </w:numPr>
        <w:jc w:val="both"/>
        <w:rPr>
          <w:rFonts w:ascii="Arial" w:hAnsi="Arial" w:cs="Arial"/>
        </w:rPr>
      </w:pPr>
      <w:r w:rsidRPr="00735666">
        <w:rPr>
          <w:rFonts w:ascii="Arial" w:hAnsi="Arial" w:cs="Arial"/>
          <w:lang w:val="en-US"/>
        </w:rPr>
        <w:t xml:space="preserve">Designated authorities in each </w:t>
      </w:r>
      <w:r w:rsidR="0009338B" w:rsidRPr="00735666">
        <w:rPr>
          <w:rFonts w:ascii="Arial" w:hAnsi="Arial" w:cs="Arial"/>
          <w:lang w:val="en-US"/>
        </w:rPr>
        <w:t>jurisdiction</w:t>
      </w:r>
      <w:r w:rsidRPr="00735666">
        <w:rPr>
          <w:rFonts w:ascii="Arial" w:hAnsi="Arial" w:cs="Arial"/>
          <w:lang w:val="en-US"/>
        </w:rPr>
        <w:t xml:space="preserve"> should oversee and be accountable for organ donation, allocation</w:t>
      </w:r>
      <w:r w:rsidRPr="00735666">
        <w:rPr>
          <w:rFonts w:ascii="Arial" w:hAnsi="Arial" w:cs="Arial"/>
          <w:color w:val="000000" w:themeColor="text1"/>
          <w:lang w:val="en-US"/>
        </w:rPr>
        <w:t xml:space="preserve"> </w:t>
      </w:r>
      <w:r w:rsidRPr="00735666">
        <w:rPr>
          <w:rFonts w:ascii="Arial" w:hAnsi="Arial" w:cs="Arial"/>
          <w:lang w:val="en-US"/>
        </w:rPr>
        <w:t xml:space="preserve">and transplantation practices to ensure standardization, traceability, transparency, </w:t>
      </w:r>
      <w:r w:rsidR="009965FB" w:rsidRPr="00735666">
        <w:rPr>
          <w:rFonts w:ascii="Arial" w:hAnsi="Arial" w:cs="Arial"/>
          <w:lang w:val="en-US"/>
        </w:rPr>
        <w:t xml:space="preserve">quality, </w:t>
      </w:r>
      <w:r w:rsidRPr="00735666">
        <w:rPr>
          <w:rFonts w:ascii="Arial" w:hAnsi="Arial" w:cs="Arial"/>
          <w:lang w:val="en-US"/>
        </w:rPr>
        <w:t>safety</w:t>
      </w:r>
      <w:r w:rsidR="00B73A63" w:rsidRPr="00735666">
        <w:rPr>
          <w:rFonts w:ascii="Arial" w:hAnsi="Arial" w:cs="Arial"/>
          <w:lang w:val="en-US"/>
        </w:rPr>
        <w:t>, fairness</w:t>
      </w:r>
      <w:r w:rsidRPr="00735666">
        <w:rPr>
          <w:rFonts w:ascii="Arial" w:hAnsi="Arial" w:cs="Arial"/>
          <w:lang w:val="en-US"/>
        </w:rPr>
        <w:t xml:space="preserve"> and public trust</w:t>
      </w:r>
      <w:r w:rsidRPr="00735666">
        <w:rPr>
          <w:rFonts w:ascii="Arial" w:hAnsi="Arial" w:cs="Arial"/>
        </w:rPr>
        <w:t>.</w:t>
      </w:r>
    </w:p>
    <w:p w14:paraId="7A860FAF" w14:textId="77777777" w:rsidR="00190A12" w:rsidRPr="00735666" w:rsidRDefault="00190A12" w:rsidP="00190A12">
      <w:pPr>
        <w:jc w:val="both"/>
        <w:rPr>
          <w:rFonts w:ascii="Arial" w:hAnsi="Arial" w:cs="Arial"/>
        </w:rPr>
      </w:pPr>
    </w:p>
    <w:p w14:paraId="04149BEC" w14:textId="6B7A8872" w:rsidR="00190A12" w:rsidRPr="00735666" w:rsidRDefault="00190A12" w:rsidP="00190A12">
      <w:pPr>
        <w:pStyle w:val="ListParagraph"/>
        <w:numPr>
          <w:ilvl w:val="0"/>
          <w:numId w:val="1"/>
        </w:numPr>
        <w:jc w:val="both"/>
        <w:rPr>
          <w:rFonts w:ascii="Arial" w:hAnsi="Arial" w:cs="Arial"/>
        </w:rPr>
      </w:pPr>
      <w:r w:rsidRPr="00735666">
        <w:rPr>
          <w:rFonts w:ascii="Arial" w:hAnsi="Arial" w:cs="Arial"/>
          <w:color w:val="000000" w:themeColor="text1"/>
          <w:lang w:val="en-US"/>
        </w:rPr>
        <w:t xml:space="preserve">All residents of a country should have equitable access to </w:t>
      </w:r>
      <w:r w:rsidR="0009338B" w:rsidRPr="00735666">
        <w:rPr>
          <w:rFonts w:ascii="Arial" w:hAnsi="Arial" w:cs="Arial"/>
          <w:color w:val="000000" w:themeColor="text1"/>
          <w:lang w:val="en-US"/>
        </w:rPr>
        <w:t xml:space="preserve">donation and </w:t>
      </w:r>
      <w:r w:rsidRPr="00735666">
        <w:rPr>
          <w:rFonts w:ascii="Arial" w:hAnsi="Arial" w:cs="Arial"/>
          <w:color w:val="000000" w:themeColor="text1"/>
          <w:lang w:val="en-US"/>
        </w:rPr>
        <w:t xml:space="preserve">transplant services </w:t>
      </w:r>
      <w:r w:rsidR="00450889" w:rsidRPr="00735666">
        <w:rPr>
          <w:rFonts w:ascii="Arial" w:hAnsi="Arial" w:cs="Arial"/>
          <w:color w:val="000000" w:themeColor="text1"/>
          <w:lang w:val="en-US"/>
        </w:rPr>
        <w:t>and</w:t>
      </w:r>
      <w:r w:rsidRPr="00735666">
        <w:rPr>
          <w:rFonts w:ascii="Arial" w:hAnsi="Arial" w:cs="Arial"/>
          <w:color w:val="000000" w:themeColor="text1"/>
          <w:lang w:val="en-US"/>
        </w:rPr>
        <w:t xml:space="preserve"> </w:t>
      </w:r>
      <w:r w:rsidR="0009338B" w:rsidRPr="00735666">
        <w:rPr>
          <w:rFonts w:ascii="Arial" w:hAnsi="Arial" w:cs="Arial"/>
          <w:color w:val="000000" w:themeColor="text1"/>
          <w:lang w:val="en-US"/>
        </w:rPr>
        <w:t xml:space="preserve">to </w:t>
      </w:r>
      <w:r w:rsidRPr="00735666">
        <w:rPr>
          <w:rFonts w:ascii="Arial" w:hAnsi="Arial" w:cs="Arial"/>
          <w:color w:val="000000" w:themeColor="text1"/>
          <w:lang w:val="en-US"/>
        </w:rPr>
        <w:t>organs procured from deceased donors.</w:t>
      </w:r>
    </w:p>
    <w:p w14:paraId="25AE5D37" w14:textId="77777777" w:rsidR="00190A12" w:rsidRPr="00735666" w:rsidRDefault="00190A12" w:rsidP="00190A12">
      <w:pPr>
        <w:jc w:val="both"/>
        <w:rPr>
          <w:rFonts w:ascii="Arial" w:hAnsi="Arial" w:cs="Arial"/>
        </w:rPr>
      </w:pPr>
    </w:p>
    <w:p w14:paraId="2D3ACE77" w14:textId="77777777" w:rsidR="00190A12" w:rsidRPr="00735666" w:rsidRDefault="00190A12" w:rsidP="00190A12">
      <w:pPr>
        <w:pStyle w:val="ListParagraph"/>
        <w:numPr>
          <w:ilvl w:val="0"/>
          <w:numId w:val="1"/>
        </w:numPr>
        <w:rPr>
          <w:rFonts w:ascii="Arial" w:hAnsi="Arial" w:cs="Arial"/>
        </w:rPr>
      </w:pPr>
      <w:r w:rsidRPr="00735666">
        <w:rPr>
          <w:rFonts w:ascii="Arial" w:hAnsi="Arial" w:cs="Arial"/>
        </w:rPr>
        <w:t>Organs for transplantation should be equitably allocated within countries or jurisdictions, in conformity with objective, non-discriminatory, externally justified and transparent rules, guided by clinical criteria and ethical norms.</w:t>
      </w:r>
    </w:p>
    <w:p w14:paraId="440F69A5" w14:textId="77777777" w:rsidR="00190A12" w:rsidRPr="00735666" w:rsidRDefault="00190A12" w:rsidP="00190A12">
      <w:pPr>
        <w:rPr>
          <w:rFonts w:ascii="Arial" w:hAnsi="Arial" w:cs="Arial"/>
        </w:rPr>
      </w:pPr>
    </w:p>
    <w:p w14:paraId="1E54C48C" w14:textId="3D96E51E" w:rsidR="00190A12" w:rsidRPr="00735666" w:rsidRDefault="00190A12" w:rsidP="00190A12">
      <w:pPr>
        <w:pStyle w:val="ListParagraph"/>
        <w:numPr>
          <w:ilvl w:val="0"/>
          <w:numId w:val="1"/>
        </w:numPr>
        <w:rPr>
          <w:rFonts w:ascii="Arial" w:hAnsi="Arial" w:cs="Arial"/>
        </w:rPr>
      </w:pPr>
      <w:r w:rsidRPr="00735666">
        <w:rPr>
          <w:rFonts w:ascii="Arial" w:hAnsi="Arial" w:cs="Arial"/>
          <w:lang w:val="en-US"/>
        </w:rPr>
        <w:t>Health professionals</w:t>
      </w:r>
      <w:r w:rsidR="00DB6FDE" w:rsidRPr="00735666">
        <w:rPr>
          <w:rFonts w:ascii="Arial" w:hAnsi="Arial" w:cs="Arial"/>
          <w:lang w:val="en-US"/>
        </w:rPr>
        <w:t xml:space="preserve"> and healthcare institutions</w:t>
      </w:r>
      <w:r w:rsidRPr="00735666">
        <w:rPr>
          <w:rFonts w:ascii="Arial" w:hAnsi="Arial" w:cs="Arial"/>
          <w:lang w:val="en-US"/>
        </w:rPr>
        <w:t xml:space="preserve"> </w:t>
      </w:r>
      <w:r w:rsidR="00DB6FDE" w:rsidRPr="00735666">
        <w:rPr>
          <w:rFonts w:ascii="Arial" w:hAnsi="Arial" w:cs="Arial"/>
          <w:lang w:val="en-US"/>
        </w:rPr>
        <w:t>should</w:t>
      </w:r>
      <w:r w:rsidRPr="00735666">
        <w:rPr>
          <w:rFonts w:ascii="Arial" w:hAnsi="Arial" w:cs="Arial"/>
          <w:lang w:val="en-US"/>
        </w:rPr>
        <w:t xml:space="preserve"> assist</w:t>
      </w:r>
      <w:r w:rsidR="00DB6FDE" w:rsidRPr="00735666">
        <w:rPr>
          <w:rFonts w:ascii="Arial" w:hAnsi="Arial" w:cs="Arial"/>
          <w:lang w:val="en-US"/>
        </w:rPr>
        <w:t xml:space="preserve"> </w:t>
      </w:r>
      <w:r w:rsidRPr="00735666">
        <w:rPr>
          <w:rFonts w:ascii="Arial" w:hAnsi="Arial" w:cs="Arial"/>
          <w:lang w:val="en-US"/>
        </w:rPr>
        <w:t xml:space="preserve">in preventing </w:t>
      </w:r>
      <w:r w:rsidR="0009338B" w:rsidRPr="00735666">
        <w:rPr>
          <w:rFonts w:ascii="Arial" w:hAnsi="Arial" w:cs="Arial"/>
          <w:lang w:val="en-US"/>
        </w:rPr>
        <w:t xml:space="preserve">and addressing </w:t>
      </w:r>
      <w:r w:rsidRPr="00735666">
        <w:rPr>
          <w:rFonts w:ascii="Arial" w:hAnsi="Arial" w:cs="Arial"/>
          <w:lang w:val="en-US"/>
        </w:rPr>
        <w:t>organ trafficking</w:t>
      </w:r>
      <w:r w:rsidR="0009338B" w:rsidRPr="00735666">
        <w:rPr>
          <w:rFonts w:ascii="Arial" w:hAnsi="Arial" w:cs="Arial"/>
          <w:lang w:val="en-US"/>
        </w:rPr>
        <w:t>,</w:t>
      </w:r>
      <w:r w:rsidRPr="00735666">
        <w:rPr>
          <w:rFonts w:ascii="Arial" w:hAnsi="Arial" w:cs="Arial"/>
          <w:lang w:val="en-US"/>
        </w:rPr>
        <w:t xml:space="preserve"> trafficking in persons for the purpose of organ removal</w:t>
      </w:r>
      <w:r w:rsidR="0009338B" w:rsidRPr="00735666">
        <w:rPr>
          <w:rFonts w:ascii="Arial" w:hAnsi="Arial" w:cs="Arial"/>
          <w:lang w:val="en-US"/>
        </w:rPr>
        <w:t>, and transplant tourism</w:t>
      </w:r>
      <w:r w:rsidRPr="00735666">
        <w:rPr>
          <w:rFonts w:ascii="Arial" w:hAnsi="Arial" w:cs="Arial"/>
          <w:lang w:val="en-US"/>
        </w:rPr>
        <w:t xml:space="preserve">. </w:t>
      </w:r>
    </w:p>
    <w:p w14:paraId="3504EE06" w14:textId="77777777" w:rsidR="00190A12" w:rsidRPr="00735666" w:rsidRDefault="00190A12" w:rsidP="00190A12">
      <w:pPr>
        <w:rPr>
          <w:rFonts w:ascii="Arial" w:hAnsi="Arial" w:cs="Arial"/>
        </w:rPr>
      </w:pPr>
    </w:p>
    <w:p w14:paraId="192C3ABE" w14:textId="58D63B77" w:rsidR="00190A12" w:rsidRPr="00735666" w:rsidRDefault="00190A12" w:rsidP="00190A12">
      <w:pPr>
        <w:pStyle w:val="ListParagraph"/>
        <w:numPr>
          <w:ilvl w:val="0"/>
          <w:numId w:val="1"/>
        </w:numPr>
        <w:jc w:val="both"/>
        <w:rPr>
          <w:rFonts w:ascii="Arial" w:hAnsi="Arial" w:cs="Arial"/>
        </w:rPr>
      </w:pPr>
      <w:r w:rsidRPr="00735666">
        <w:rPr>
          <w:rFonts w:ascii="Arial" w:hAnsi="Arial" w:cs="Arial"/>
          <w:lang w:val="en-US"/>
        </w:rPr>
        <w:t xml:space="preserve">Governments </w:t>
      </w:r>
      <w:r w:rsidR="00C75103" w:rsidRPr="00735666">
        <w:rPr>
          <w:rFonts w:ascii="Arial" w:hAnsi="Arial" w:cs="Arial"/>
          <w:lang w:val="en-US"/>
        </w:rPr>
        <w:t xml:space="preserve">and health professionals </w:t>
      </w:r>
      <w:r w:rsidRPr="00735666">
        <w:rPr>
          <w:rFonts w:ascii="Arial" w:hAnsi="Arial" w:cs="Arial"/>
          <w:lang w:val="en-US"/>
        </w:rPr>
        <w:t xml:space="preserve">should </w:t>
      </w:r>
      <w:r w:rsidR="00C75103" w:rsidRPr="00735666">
        <w:rPr>
          <w:rFonts w:ascii="Arial" w:hAnsi="Arial" w:cs="Arial"/>
          <w:lang w:val="en-US"/>
        </w:rPr>
        <w:t>implement strategies</w:t>
      </w:r>
      <w:r w:rsidRPr="00735666">
        <w:rPr>
          <w:rFonts w:ascii="Arial" w:hAnsi="Arial" w:cs="Arial"/>
          <w:lang w:val="en-US"/>
        </w:rPr>
        <w:t xml:space="preserve"> to </w:t>
      </w:r>
      <w:r w:rsidR="00C75103" w:rsidRPr="00735666">
        <w:rPr>
          <w:rFonts w:ascii="Arial" w:hAnsi="Arial" w:cs="Arial"/>
          <w:lang w:val="en-US"/>
        </w:rPr>
        <w:t xml:space="preserve">discourage and </w:t>
      </w:r>
      <w:r w:rsidRPr="00735666">
        <w:rPr>
          <w:rFonts w:ascii="Arial" w:hAnsi="Arial" w:cs="Arial"/>
          <w:lang w:val="en-US"/>
        </w:rPr>
        <w:t>prevent the residents of their country from engaging in transplant tourism.</w:t>
      </w:r>
    </w:p>
    <w:p w14:paraId="50D64757" w14:textId="77777777" w:rsidR="00190A12" w:rsidRPr="00735666" w:rsidRDefault="00190A12" w:rsidP="00190A12">
      <w:pPr>
        <w:jc w:val="both"/>
        <w:rPr>
          <w:rFonts w:ascii="Arial" w:hAnsi="Arial" w:cs="Arial"/>
        </w:rPr>
      </w:pPr>
    </w:p>
    <w:p w14:paraId="477BB6E9" w14:textId="5B2600F3" w:rsidR="00190A12" w:rsidRPr="00735666" w:rsidRDefault="00190A12" w:rsidP="00190A12">
      <w:pPr>
        <w:pStyle w:val="ListParagraph"/>
        <w:numPr>
          <w:ilvl w:val="0"/>
          <w:numId w:val="1"/>
        </w:numPr>
        <w:jc w:val="both"/>
        <w:rPr>
          <w:rFonts w:ascii="Arial" w:hAnsi="Arial" w:cs="Arial"/>
        </w:rPr>
      </w:pPr>
      <w:r w:rsidRPr="00735666">
        <w:rPr>
          <w:rFonts w:ascii="Arial" w:hAnsi="Arial" w:cs="Arial"/>
        </w:rPr>
        <w:lastRenderedPageBreak/>
        <w:t>Countries should strive to achieve self-sufficiency in organ donation and transplantation</w:t>
      </w:r>
      <w:r w:rsidR="00C75103" w:rsidRPr="00735666">
        <w:rPr>
          <w:rFonts w:ascii="Arial" w:hAnsi="Arial" w:cs="Arial"/>
        </w:rPr>
        <w:t>.</w:t>
      </w:r>
    </w:p>
    <w:p w14:paraId="53DD6C07" w14:textId="77777777" w:rsidR="00190A12" w:rsidRPr="00735666" w:rsidRDefault="00190A12" w:rsidP="00190A12">
      <w:pPr>
        <w:spacing w:after="120"/>
        <w:jc w:val="both"/>
        <w:rPr>
          <w:rFonts w:ascii="Arial" w:hAnsi="Arial" w:cs="Arial"/>
          <w:b/>
        </w:rPr>
      </w:pPr>
    </w:p>
    <w:p w14:paraId="342488E7" w14:textId="77777777" w:rsidR="00190A12" w:rsidRPr="00735666" w:rsidRDefault="00190A12" w:rsidP="00190A12">
      <w:pPr>
        <w:spacing w:after="120"/>
        <w:jc w:val="both"/>
        <w:rPr>
          <w:rFonts w:ascii="Arial" w:hAnsi="Arial" w:cs="Arial"/>
          <w:b/>
        </w:rPr>
      </w:pPr>
      <w:r w:rsidRPr="00735666">
        <w:rPr>
          <w:rFonts w:ascii="Arial" w:hAnsi="Arial" w:cs="Arial"/>
          <w:b/>
        </w:rPr>
        <w:t xml:space="preserve">REFERENCES </w:t>
      </w:r>
    </w:p>
    <w:p w14:paraId="78A4E2FA" w14:textId="77777777" w:rsidR="00190A12" w:rsidRPr="00735666" w:rsidRDefault="00190A12" w:rsidP="00190A12">
      <w:pPr>
        <w:ind w:left="360" w:hanging="360"/>
        <w:rPr>
          <w:rFonts w:ascii="Arial" w:hAnsi="Arial" w:cs="Arial"/>
          <w:b/>
        </w:rPr>
      </w:pPr>
    </w:p>
    <w:p w14:paraId="0D791958" w14:textId="29487738" w:rsidR="00BD3AAF" w:rsidRPr="00274F8B" w:rsidRDefault="00BD3AAF" w:rsidP="00274F8B">
      <w:pPr>
        <w:pStyle w:val="ListParagraph"/>
        <w:numPr>
          <w:ilvl w:val="0"/>
          <w:numId w:val="9"/>
        </w:numPr>
        <w:rPr>
          <w:rFonts w:ascii="Arial" w:eastAsia="Times New Roman" w:hAnsi="Arial" w:cs="Arial"/>
          <w:lang w:val="en-AU" w:eastAsia="en-US"/>
        </w:rPr>
      </w:pPr>
      <w:r w:rsidRPr="00274F8B">
        <w:rPr>
          <w:rFonts w:ascii="Arial" w:eastAsia="Times New Roman" w:hAnsi="Arial" w:cs="Arial"/>
          <w:lang w:val="en-AU" w:eastAsia="en-US"/>
        </w:rPr>
        <w:t xml:space="preserve">Shimazono Y. 2007. The state of the international organ trade: a provisional picture based on integration of available information. </w:t>
      </w:r>
      <w:r w:rsidRPr="00274F8B">
        <w:rPr>
          <w:rFonts w:ascii="Arial" w:eastAsia="Times New Roman" w:hAnsi="Arial" w:cs="Arial"/>
          <w:i/>
          <w:iCs/>
          <w:lang w:val="en-AU" w:eastAsia="en-US"/>
        </w:rPr>
        <w:t>Bulletin of the World Health Organization</w:t>
      </w:r>
      <w:r w:rsidRPr="00274F8B">
        <w:rPr>
          <w:rFonts w:ascii="Arial" w:eastAsia="Times New Roman" w:hAnsi="Arial" w:cs="Arial"/>
          <w:lang w:val="en-AU" w:eastAsia="en-US"/>
        </w:rPr>
        <w:t xml:space="preserve">, </w:t>
      </w:r>
      <w:r w:rsidRPr="00274F8B">
        <w:rPr>
          <w:rFonts w:ascii="Arial" w:eastAsia="Times New Roman" w:hAnsi="Arial" w:cs="Arial"/>
          <w:iCs/>
          <w:lang w:val="en-AU" w:eastAsia="en-US"/>
        </w:rPr>
        <w:t>85</w:t>
      </w:r>
      <w:r w:rsidRPr="00274F8B">
        <w:rPr>
          <w:rFonts w:ascii="Arial" w:eastAsia="Times New Roman" w:hAnsi="Arial" w:cs="Arial"/>
          <w:lang w:val="en-AU" w:eastAsia="en-US"/>
        </w:rPr>
        <w:t>(12): 955-962.</w:t>
      </w:r>
    </w:p>
    <w:p w14:paraId="7E48A6B3" w14:textId="77777777" w:rsidR="00BD3AAF" w:rsidRPr="00735666" w:rsidRDefault="00BD3AAF" w:rsidP="00274F8B">
      <w:pPr>
        <w:pStyle w:val="ListParagraph"/>
        <w:rPr>
          <w:rFonts w:ascii="Arial" w:eastAsia="Times New Roman" w:hAnsi="Arial" w:cs="Arial"/>
          <w:lang w:val="en-AU" w:eastAsia="en-AU"/>
        </w:rPr>
      </w:pPr>
    </w:p>
    <w:p w14:paraId="68A48196" w14:textId="50378DD3" w:rsidR="00190A12" w:rsidRPr="00274F8B" w:rsidRDefault="00190A12" w:rsidP="00274F8B">
      <w:pPr>
        <w:pStyle w:val="ListParagraph"/>
        <w:numPr>
          <w:ilvl w:val="0"/>
          <w:numId w:val="9"/>
        </w:numPr>
        <w:rPr>
          <w:rFonts w:ascii="Arial" w:eastAsia="Times New Roman" w:hAnsi="Arial" w:cs="Arial"/>
          <w:lang w:val="en-AU" w:eastAsia="en-AU"/>
        </w:rPr>
      </w:pPr>
      <w:r w:rsidRPr="00274F8B">
        <w:rPr>
          <w:rFonts w:ascii="Arial" w:eastAsia="Times New Roman" w:hAnsi="Arial" w:cs="Arial"/>
          <w:lang w:val="en-AU" w:eastAsia="en-AU"/>
        </w:rPr>
        <w:t xml:space="preserve">Steering Committee of the Istanbul Summit. Organ trafficking and transplant tourism and commercialism: the Declaration of Istanbul. </w:t>
      </w:r>
      <w:r w:rsidRPr="00274F8B">
        <w:rPr>
          <w:rFonts w:ascii="Arial" w:eastAsia="Times New Roman" w:hAnsi="Arial" w:cs="Arial"/>
          <w:i/>
          <w:lang w:val="en-AU" w:eastAsia="en-AU"/>
        </w:rPr>
        <w:t>The Lancet</w:t>
      </w:r>
      <w:r w:rsidRPr="00274F8B">
        <w:rPr>
          <w:rFonts w:ascii="Arial" w:eastAsia="Times New Roman" w:hAnsi="Arial" w:cs="Arial"/>
          <w:lang w:val="en-AU" w:eastAsia="en-AU"/>
        </w:rPr>
        <w:t>. 2008 Jul 5;372(9632):5-6.</w:t>
      </w:r>
    </w:p>
    <w:p w14:paraId="0980A0D7" w14:textId="0C3CEB3C" w:rsidR="00190A12" w:rsidRPr="00735666" w:rsidRDefault="00190A12" w:rsidP="00274F8B">
      <w:pPr>
        <w:tabs>
          <w:tab w:val="left" w:pos="270"/>
        </w:tabs>
        <w:rPr>
          <w:rFonts w:ascii="Arial" w:hAnsi="Arial" w:cs="Arial"/>
        </w:rPr>
      </w:pPr>
    </w:p>
    <w:p w14:paraId="26A720CA" w14:textId="77777777" w:rsidR="00190A12" w:rsidRPr="00274F8B" w:rsidRDefault="00190A12" w:rsidP="00274F8B">
      <w:pPr>
        <w:pStyle w:val="ListParagraph"/>
        <w:numPr>
          <w:ilvl w:val="0"/>
          <w:numId w:val="9"/>
        </w:numPr>
        <w:tabs>
          <w:tab w:val="left" w:pos="270"/>
        </w:tabs>
        <w:rPr>
          <w:rFonts w:ascii="Arial" w:hAnsi="Arial" w:cs="Arial"/>
        </w:rPr>
      </w:pPr>
      <w:r w:rsidRPr="00274F8B">
        <w:rPr>
          <w:rFonts w:ascii="Arial" w:hAnsi="Arial" w:cs="Arial"/>
        </w:rPr>
        <w:t xml:space="preserve">Sixty-Third World Health Assembly. </w:t>
      </w:r>
      <w:r w:rsidRPr="00274F8B">
        <w:rPr>
          <w:rFonts w:ascii="Arial" w:eastAsia="Times New Roman" w:hAnsi="Arial" w:cs="Arial"/>
          <w:i/>
        </w:rPr>
        <w:t>WHO Guiding Principles on Human Cell, Tissue and Organ Transplantation</w:t>
      </w:r>
      <w:r w:rsidRPr="00274F8B">
        <w:rPr>
          <w:rFonts w:ascii="Arial" w:eastAsia="Times New Roman" w:hAnsi="Arial" w:cs="Arial"/>
        </w:rPr>
        <w:t xml:space="preserve">, endorsed in Resolution WHA63.22, </w:t>
      </w:r>
      <w:r w:rsidRPr="00274F8B">
        <w:rPr>
          <w:rFonts w:ascii="Arial" w:hAnsi="Arial" w:cs="Arial"/>
        </w:rPr>
        <w:t xml:space="preserve">21 May 2010, available at </w:t>
      </w:r>
      <w:hyperlink r:id="rId7" w:history="1">
        <w:r w:rsidRPr="00274F8B">
          <w:rPr>
            <w:rStyle w:val="Hyperlink"/>
            <w:rFonts w:ascii="Arial" w:eastAsia="Times New Roman" w:hAnsi="Arial" w:cs="Arial"/>
            <w:shd w:val="clear" w:color="auto" w:fill="FFFFFF"/>
          </w:rPr>
          <w:t>http://www.who.int/transplantation/en/</w:t>
        </w:r>
      </w:hyperlink>
      <w:r w:rsidRPr="00274F8B">
        <w:rPr>
          <w:rFonts w:ascii="Arial" w:hAnsi="Arial" w:cs="Arial"/>
        </w:rPr>
        <w:t>.</w:t>
      </w:r>
    </w:p>
    <w:p w14:paraId="74A1A033" w14:textId="77777777" w:rsidR="00190A12" w:rsidRPr="00735666" w:rsidRDefault="00190A12" w:rsidP="00274F8B">
      <w:pPr>
        <w:pStyle w:val="ListParagraph"/>
        <w:rPr>
          <w:rFonts w:ascii="Arial" w:hAnsi="Arial" w:cs="Arial"/>
        </w:rPr>
      </w:pPr>
    </w:p>
    <w:p w14:paraId="778BB4EB" w14:textId="77777777" w:rsidR="00190A12" w:rsidRPr="00274F8B" w:rsidRDefault="00190A12" w:rsidP="00274F8B">
      <w:pPr>
        <w:pStyle w:val="ListParagraph"/>
        <w:numPr>
          <w:ilvl w:val="0"/>
          <w:numId w:val="9"/>
        </w:numPr>
        <w:tabs>
          <w:tab w:val="left" w:pos="270"/>
        </w:tabs>
        <w:rPr>
          <w:rFonts w:ascii="Arial" w:hAnsi="Arial" w:cs="Arial"/>
        </w:rPr>
      </w:pPr>
      <w:r w:rsidRPr="00274F8B">
        <w:rPr>
          <w:rFonts w:ascii="Arial" w:hAnsi="Arial" w:cs="Arial"/>
        </w:rPr>
        <w:t xml:space="preserve">United Nations General Assembly. </w:t>
      </w:r>
      <w:r w:rsidRPr="00274F8B">
        <w:rPr>
          <w:rFonts w:ascii="Arial" w:hAnsi="Arial" w:cs="Arial"/>
          <w:i/>
        </w:rPr>
        <w:t>Protocol to Prevent, Suppress and Punish Trafficking in Persons, Especially Women and Children, Supplementing the United Nations Convention against Transnational Organized Crime</w:t>
      </w:r>
      <w:r w:rsidRPr="00274F8B">
        <w:rPr>
          <w:rFonts w:ascii="Arial" w:hAnsi="Arial" w:cs="Arial"/>
        </w:rPr>
        <w:t xml:space="preserve">, endorsed in Resolution 55/25, 15 Nov. 2000, available at </w:t>
      </w:r>
      <w:hyperlink r:id="rId8" w:history="1">
        <w:r w:rsidRPr="00274F8B">
          <w:rPr>
            <w:rStyle w:val="Hyperlink"/>
            <w:rFonts w:ascii="Arial" w:hAnsi="Arial" w:cs="Arial"/>
          </w:rPr>
          <w:t>http://www.unodc.org/documents/treaties/UNTOC/Publications/TOC%20Convention/TOCebook-e.pdf</w:t>
        </w:r>
      </w:hyperlink>
      <w:r w:rsidRPr="00274F8B">
        <w:rPr>
          <w:rFonts w:ascii="Arial" w:hAnsi="Arial" w:cs="Arial"/>
        </w:rPr>
        <w:t>.</w:t>
      </w:r>
      <w:r w:rsidRPr="00274F8B">
        <w:rPr>
          <w:rFonts w:ascii="Arial" w:hAnsi="Arial" w:cs="Arial"/>
          <w:i/>
        </w:rPr>
        <w:t xml:space="preserve"> </w:t>
      </w:r>
    </w:p>
    <w:p w14:paraId="45A886E5" w14:textId="77777777" w:rsidR="00190A12" w:rsidRPr="00735666" w:rsidRDefault="00190A12" w:rsidP="00274F8B">
      <w:pPr>
        <w:pStyle w:val="ListParagraph"/>
        <w:rPr>
          <w:rFonts w:ascii="Arial" w:hAnsi="Arial" w:cs="Arial"/>
        </w:rPr>
      </w:pPr>
    </w:p>
    <w:p w14:paraId="6D4BCBD7" w14:textId="77777777" w:rsidR="00190A12" w:rsidRPr="00274F8B" w:rsidRDefault="00190A12" w:rsidP="00274F8B">
      <w:pPr>
        <w:pStyle w:val="ListParagraph"/>
        <w:numPr>
          <w:ilvl w:val="0"/>
          <w:numId w:val="9"/>
        </w:numPr>
        <w:tabs>
          <w:tab w:val="left" w:pos="270"/>
        </w:tabs>
        <w:rPr>
          <w:rFonts w:ascii="Arial" w:hAnsi="Arial" w:cs="Arial"/>
        </w:rPr>
      </w:pPr>
      <w:r w:rsidRPr="00274F8B">
        <w:rPr>
          <w:rFonts w:ascii="Arial" w:hAnsi="Arial" w:cs="Arial"/>
        </w:rPr>
        <w:t xml:space="preserve">United Nations General Assembly. </w:t>
      </w:r>
      <w:r w:rsidRPr="00274F8B">
        <w:rPr>
          <w:rFonts w:ascii="Arial" w:hAnsi="Arial" w:cs="Arial"/>
          <w:i/>
          <w:spacing w:val="2"/>
        </w:rPr>
        <w:t xml:space="preserve">Strengthening and promoting effective measures </w:t>
      </w:r>
      <w:r w:rsidRPr="00274F8B">
        <w:rPr>
          <w:rFonts w:ascii="Arial" w:hAnsi="Arial" w:cs="Arial"/>
          <w:i/>
          <w:spacing w:val="5"/>
        </w:rPr>
        <w:t xml:space="preserve">and international cooperation on organ donation </w:t>
      </w:r>
      <w:r w:rsidRPr="00274F8B">
        <w:rPr>
          <w:rFonts w:ascii="Arial" w:hAnsi="Arial" w:cs="Arial"/>
          <w:i/>
          <w:spacing w:val="1"/>
        </w:rPr>
        <w:t xml:space="preserve">and transplantation to prevent and combat trafficking </w:t>
      </w:r>
      <w:r w:rsidRPr="00274F8B">
        <w:rPr>
          <w:rFonts w:ascii="Arial" w:hAnsi="Arial" w:cs="Arial"/>
          <w:i/>
          <w:spacing w:val="5"/>
        </w:rPr>
        <w:t>in persons for the purpose of organ removal and trafficking in human organs</w:t>
      </w:r>
      <w:r w:rsidRPr="00274F8B">
        <w:rPr>
          <w:rFonts w:ascii="Arial" w:hAnsi="Arial" w:cs="Arial"/>
          <w:spacing w:val="5"/>
        </w:rPr>
        <w:t xml:space="preserve">, endorsed in </w:t>
      </w:r>
      <w:r w:rsidRPr="00274F8B">
        <w:rPr>
          <w:rFonts w:ascii="Arial" w:hAnsi="Arial" w:cs="Arial"/>
        </w:rPr>
        <w:t xml:space="preserve">Resolution 71/33, </w:t>
      </w:r>
      <w:r w:rsidRPr="00274F8B">
        <w:rPr>
          <w:rFonts w:ascii="Arial" w:hAnsi="Arial" w:cs="Arial"/>
          <w:spacing w:val="5"/>
        </w:rPr>
        <w:t>8 September 2017, available at</w:t>
      </w:r>
      <w:r w:rsidRPr="00274F8B">
        <w:rPr>
          <w:rFonts w:ascii="Arial" w:hAnsi="Arial" w:cs="Arial"/>
          <w:i/>
          <w:spacing w:val="5"/>
        </w:rPr>
        <w:t xml:space="preserve"> </w:t>
      </w:r>
      <w:hyperlink r:id="rId9" w:history="1">
        <w:r w:rsidRPr="00274F8B">
          <w:rPr>
            <w:rStyle w:val="Hyperlink"/>
            <w:rFonts w:ascii="Arial" w:hAnsi="Arial" w:cs="Arial"/>
            <w:spacing w:val="5"/>
          </w:rPr>
          <w:t>https://www.un.org/en/ga/search/view_doc.asp?symbol=A/RES/71/322</w:t>
        </w:r>
      </w:hyperlink>
      <w:r w:rsidRPr="00274F8B">
        <w:rPr>
          <w:rFonts w:ascii="Arial" w:hAnsi="Arial" w:cs="Arial"/>
          <w:spacing w:val="5"/>
        </w:rPr>
        <w:t xml:space="preserve">. </w:t>
      </w:r>
    </w:p>
    <w:p w14:paraId="0FD7F058" w14:textId="77777777" w:rsidR="00190A12" w:rsidRPr="00735666" w:rsidRDefault="00190A12" w:rsidP="00274F8B">
      <w:pPr>
        <w:pStyle w:val="ListParagraph"/>
        <w:rPr>
          <w:rFonts w:ascii="Arial" w:hAnsi="Arial" w:cs="Arial"/>
        </w:rPr>
      </w:pPr>
    </w:p>
    <w:p w14:paraId="1F14F412" w14:textId="138FDA15" w:rsidR="00BF54FE" w:rsidRPr="00274F8B" w:rsidRDefault="00BF54FE" w:rsidP="00274F8B">
      <w:pPr>
        <w:pStyle w:val="ListParagraph"/>
        <w:numPr>
          <w:ilvl w:val="0"/>
          <w:numId w:val="9"/>
        </w:numPr>
        <w:rPr>
          <w:rFonts w:ascii="Arial" w:hAnsi="Arial" w:cs="Arial"/>
        </w:rPr>
      </w:pPr>
      <w:r w:rsidRPr="00274F8B">
        <w:rPr>
          <w:rFonts w:ascii="Arial" w:hAnsi="Arial" w:cs="Arial"/>
        </w:rPr>
        <w:t xml:space="preserve">Council of Europe. </w:t>
      </w:r>
      <w:r w:rsidRPr="00274F8B">
        <w:rPr>
          <w:rFonts w:ascii="Arial" w:hAnsi="Arial" w:cs="Arial"/>
          <w:i/>
        </w:rPr>
        <w:t>Convention for the protection of Human Rights and Dignity of the Human Being with regard to the Application of Biology and Medicine: Convention on Human Rights and Biomedicine</w:t>
      </w:r>
      <w:r w:rsidRPr="00274F8B">
        <w:rPr>
          <w:rFonts w:ascii="Arial" w:hAnsi="Arial" w:cs="Arial"/>
        </w:rPr>
        <w:t xml:space="preserve"> (ETS No. 164), Oviedo, 4 April 97, available at </w:t>
      </w:r>
      <w:hyperlink r:id="rId10" w:history="1">
        <w:r w:rsidRPr="00274F8B">
          <w:rPr>
            <w:rStyle w:val="Hyperlink"/>
            <w:rFonts w:ascii="Arial" w:hAnsi="Arial" w:cs="Arial"/>
          </w:rPr>
          <w:t>https://www.coe.int/en/web/conventions/full-list/-/conventions/treaty/164</w:t>
        </w:r>
      </w:hyperlink>
      <w:r w:rsidR="006710D8">
        <w:rPr>
          <w:rStyle w:val="Hyperlink"/>
          <w:rFonts w:ascii="Arial" w:hAnsi="Arial" w:cs="Arial"/>
        </w:rPr>
        <w:t>.</w:t>
      </w:r>
      <w:r w:rsidRPr="00274F8B">
        <w:rPr>
          <w:rFonts w:ascii="Arial" w:hAnsi="Arial" w:cs="Arial"/>
        </w:rPr>
        <w:t xml:space="preserve"> </w:t>
      </w:r>
    </w:p>
    <w:p w14:paraId="26B4125B" w14:textId="77777777" w:rsidR="00BF54FE" w:rsidRPr="00735666" w:rsidRDefault="00BF54FE" w:rsidP="00274F8B">
      <w:pPr>
        <w:pStyle w:val="ListParagraph"/>
        <w:rPr>
          <w:rFonts w:ascii="Arial" w:hAnsi="Arial" w:cs="Arial"/>
        </w:rPr>
      </w:pPr>
    </w:p>
    <w:p w14:paraId="0885C936" w14:textId="07AA0FD4" w:rsidR="002E6F37" w:rsidRDefault="00BF54FE" w:rsidP="006710D8">
      <w:pPr>
        <w:pStyle w:val="ListParagraph"/>
        <w:numPr>
          <w:ilvl w:val="0"/>
          <w:numId w:val="9"/>
        </w:numPr>
        <w:rPr>
          <w:rFonts w:ascii="Arial" w:hAnsi="Arial" w:cs="Arial"/>
        </w:rPr>
      </w:pPr>
      <w:r w:rsidRPr="00274F8B">
        <w:rPr>
          <w:rFonts w:ascii="Arial" w:hAnsi="Arial" w:cs="Arial"/>
        </w:rPr>
        <w:t xml:space="preserve">Council of </w:t>
      </w:r>
      <w:r w:rsidR="00C449FD" w:rsidRPr="00274F8B">
        <w:rPr>
          <w:rFonts w:ascii="Arial" w:hAnsi="Arial" w:cs="Arial"/>
        </w:rPr>
        <w:t xml:space="preserve">Europe. </w:t>
      </w:r>
      <w:r w:rsidR="00C449FD" w:rsidRPr="00274F8B">
        <w:rPr>
          <w:rFonts w:ascii="Arial" w:hAnsi="Arial" w:cs="Arial"/>
          <w:i/>
        </w:rPr>
        <w:t xml:space="preserve">Additional Protocol to the Convention on Human Rights and Biomedicine concerning Transplantation of Organs and Tissues of Human Origin </w:t>
      </w:r>
      <w:r w:rsidR="00C449FD" w:rsidRPr="00274F8B">
        <w:rPr>
          <w:rFonts w:ascii="Arial" w:hAnsi="Arial" w:cs="Arial"/>
        </w:rPr>
        <w:t xml:space="preserve">(ETS No. 186), Strasbourg, 1 May 2006, available at </w:t>
      </w:r>
      <w:hyperlink r:id="rId11" w:history="1">
        <w:r w:rsidR="00C449FD" w:rsidRPr="00274F8B">
          <w:rPr>
            <w:rStyle w:val="Hyperlink"/>
            <w:rFonts w:ascii="Arial" w:hAnsi="Arial" w:cs="Arial"/>
          </w:rPr>
          <w:t>https://www.coe.int/en/web/conventions/full-list/-/conventions/treaty/186</w:t>
        </w:r>
      </w:hyperlink>
      <w:r w:rsidR="006710D8" w:rsidRPr="006710D8">
        <w:rPr>
          <w:rFonts w:ascii="Arial" w:hAnsi="Arial" w:cs="Arial"/>
        </w:rPr>
        <w:t>.</w:t>
      </w:r>
      <w:r w:rsidR="006710D8">
        <w:rPr>
          <w:rFonts w:ascii="Arial" w:hAnsi="Arial" w:cs="Arial"/>
        </w:rPr>
        <w:t xml:space="preserve"> </w:t>
      </w:r>
    </w:p>
    <w:p w14:paraId="222DFB27" w14:textId="4901B607" w:rsidR="006710D8" w:rsidRPr="006710D8" w:rsidRDefault="006710D8" w:rsidP="006710D8">
      <w:pPr>
        <w:rPr>
          <w:rFonts w:ascii="Arial" w:hAnsi="Arial" w:cs="Arial"/>
        </w:rPr>
      </w:pPr>
    </w:p>
    <w:p w14:paraId="7B281668" w14:textId="5DC48EB5" w:rsidR="006E0EF8" w:rsidRPr="006710D8" w:rsidRDefault="002E6F37" w:rsidP="00274F8B">
      <w:pPr>
        <w:pStyle w:val="ListParagraph"/>
        <w:numPr>
          <w:ilvl w:val="0"/>
          <w:numId w:val="9"/>
        </w:numPr>
        <w:rPr>
          <w:rFonts w:ascii="Arial" w:hAnsi="Arial" w:cs="Arial"/>
        </w:rPr>
      </w:pPr>
      <w:r w:rsidRPr="00274F8B">
        <w:rPr>
          <w:rFonts w:ascii="Arial" w:hAnsi="Arial" w:cs="Arial"/>
        </w:rPr>
        <w:t>C</w:t>
      </w:r>
      <w:r w:rsidR="00190A12" w:rsidRPr="00274F8B">
        <w:rPr>
          <w:rFonts w:ascii="Arial" w:hAnsi="Arial" w:cs="Arial"/>
        </w:rPr>
        <w:t>ouncil of Europe.</w:t>
      </w:r>
      <w:r w:rsidR="00190A12" w:rsidRPr="00274F8B">
        <w:rPr>
          <w:rFonts w:ascii="Arial" w:hAnsi="Arial" w:cs="Arial"/>
          <w:i/>
        </w:rPr>
        <w:t xml:space="preserve"> Convention against Trafficking in Human Organs </w:t>
      </w:r>
      <w:r w:rsidR="00190A12" w:rsidRPr="00274F8B">
        <w:rPr>
          <w:rFonts w:ascii="Arial" w:hAnsi="Arial" w:cs="Arial"/>
        </w:rPr>
        <w:t>(ETS No. 216), Santiago de Compostela</w:t>
      </w:r>
      <w:r w:rsidR="00190A12" w:rsidRPr="00274F8B">
        <w:rPr>
          <w:rFonts w:ascii="Arial" w:eastAsia="Times New Roman" w:hAnsi="Arial" w:cs="Arial"/>
        </w:rPr>
        <w:t>, 25 March 2015, avail</w:t>
      </w:r>
      <w:r w:rsidRPr="00274F8B">
        <w:rPr>
          <w:rFonts w:ascii="Arial" w:eastAsia="Times New Roman" w:hAnsi="Arial" w:cs="Arial"/>
        </w:rPr>
        <w:t>a</w:t>
      </w:r>
      <w:r w:rsidR="00190A12" w:rsidRPr="00274F8B">
        <w:rPr>
          <w:rFonts w:ascii="Arial" w:eastAsia="Times New Roman" w:hAnsi="Arial" w:cs="Arial"/>
        </w:rPr>
        <w:t xml:space="preserve">ble at </w:t>
      </w:r>
      <w:hyperlink r:id="rId12" w:history="1">
        <w:r w:rsidR="00C449FD" w:rsidRPr="00274F8B">
          <w:rPr>
            <w:rStyle w:val="Hyperlink"/>
            <w:rFonts w:ascii="Arial" w:eastAsia="Times New Roman" w:hAnsi="Arial" w:cs="Arial"/>
          </w:rPr>
          <w:t>https://www.coe.int/en/web/conventions/full-list/-/conventions/treaty/216/</w:t>
        </w:r>
      </w:hyperlink>
      <w:r w:rsidR="006710D8" w:rsidRPr="006710D8">
        <w:rPr>
          <w:rFonts w:ascii="Arial" w:hAnsi="Arial" w:cs="Arial"/>
        </w:rPr>
        <w:t>.</w:t>
      </w:r>
    </w:p>
    <w:sectPr w:rsidR="006E0EF8" w:rsidRPr="006710D8" w:rsidSect="00190A12">
      <w:headerReference w:type="default" r:id="rId13"/>
      <w:footerReference w:type="even" r:id="rId14"/>
      <w:footerReference w:type="default" r:id="rId15"/>
      <w:pgSz w:w="11900" w:h="16840"/>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DC61" w14:textId="77777777" w:rsidR="000C0BEF" w:rsidRDefault="000C0BEF" w:rsidP="00190A12">
      <w:r>
        <w:separator/>
      </w:r>
    </w:p>
  </w:endnote>
  <w:endnote w:type="continuationSeparator" w:id="0">
    <w:p w14:paraId="5599947D" w14:textId="77777777" w:rsidR="000C0BEF" w:rsidRDefault="000C0BEF" w:rsidP="001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003249"/>
      <w:docPartObj>
        <w:docPartGallery w:val="Page Numbers (Bottom of Page)"/>
        <w:docPartUnique/>
      </w:docPartObj>
    </w:sdtPr>
    <w:sdtEndPr>
      <w:rPr>
        <w:rStyle w:val="PageNumber"/>
      </w:rPr>
    </w:sdtEndPr>
    <w:sdtContent>
      <w:p w14:paraId="7D4F2708" w14:textId="77777777" w:rsidR="00190A12" w:rsidRDefault="00190A12" w:rsidP="00261A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94EAD" w14:textId="77777777" w:rsidR="00190A12" w:rsidRDefault="00190A12" w:rsidP="00190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1"/>
      </w:rPr>
      <w:id w:val="-937442927"/>
      <w:docPartObj>
        <w:docPartGallery w:val="Page Numbers (Bottom of Page)"/>
        <w:docPartUnique/>
      </w:docPartObj>
    </w:sdtPr>
    <w:sdtEndPr>
      <w:rPr>
        <w:rStyle w:val="PageNumber"/>
      </w:rPr>
    </w:sdtEndPr>
    <w:sdtContent>
      <w:p w14:paraId="72675FAD" w14:textId="23BA9674" w:rsidR="00190A12" w:rsidRPr="005C7B95" w:rsidRDefault="00190A12" w:rsidP="00261A24">
        <w:pPr>
          <w:pStyle w:val="Footer"/>
          <w:framePr w:wrap="none" w:vAnchor="text" w:hAnchor="margin" w:xAlign="right" w:y="1"/>
          <w:rPr>
            <w:rStyle w:val="PageNumber"/>
            <w:sz w:val="21"/>
          </w:rPr>
        </w:pPr>
        <w:r w:rsidRPr="005C7B95">
          <w:rPr>
            <w:rStyle w:val="PageNumber"/>
            <w:sz w:val="21"/>
          </w:rPr>
          <w:fldChar w:fldCharType="begin"/>
        </w:r>
        <w:r w:rsidRPr="005C7B95">
          <w:rPr>
            <w:rStyle w:val="PageNumber"/>
            <w:sz w:val="21"/>
          </w:rPr>
          <w:instrText xml:space="preserve"> PAGE </w:instrText>
        </w:r>
        <w:r w:rsidRPr="005C7B95">
          <w:rPr>
            <w:rStyle w:val="PageNumber"/>
            <w:sz w:val="21"/>
          </w:rPr>
          <w:fldChar w:fldCharType="separate"/>
        </w:r>
        <w:r w:rsidR="00335828">
          <w:rPr>
            <w:rStyle w:val="PageNumber"/>
            <w:noProof/>
            <w:sz w:val="21"/>
          </w:rPr>
          <w:t>2</w:t>
        </w:r>
        <w:r w:rsidRPr="005C7B95">
          <w:rPr>
            <w:rStyle w:val="PageNumber"/>
            <w:sz w:val="21"/>
          </w:rPr>
          <w:fldChar w:fldCharType="end"/>
        </w:r>
      </w:p>
    </w:sdtContent>
  </w:sdt>
  <w:p w14:paraId="02CE64F7" w14:textId="77777777" w:rsidR="00190A12" w:rsidRDefault="00190A12" w:rsidP="00190A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7567B" w14:textId="77777777" w:rsidR="000C0BEF" w:rsidRDefault="000C0BEF" w:rsidP="00190A12">
      <w:r>
        <w:separator/>
      </w:r>
    </w:p>
  </w:footnote>
  <w:footnote w:type="continuationSeparator" w:id="0">
    <w:p w14:paraId="789AFC1C" w14:textId="77777777" w:rsidR="000C0BEF" w:rsidRDefault="000C0BEF" w:rsidP="00190A12">
      <w:r>
        <w:continuationSeparator/>
      </w:r>
    </w:p>
  </w:footnote>
  <w:footnote w:id="1">
    <w:p w14:paraId="708C62B0" w14:textId="4A6357AC" w:rsidR="00190A12" w:rsidRPr="00F044D9" w:rsidRDefault="00190A12" w:rsidP="00190A12">
      <w:pPr>
        <w:pStyle w:val="FootnoteText"/>
        <w:spacing w:after="120"/>
        <w:rPr>
          <w:rFonts w:ascii="Arial" w:hAnsi="Arial" w:cs="Arial"/>
          <w:sz w:val="20"/>
          <w:szCs w:val="20"/>
          <w:lang w:val="en-AU"/>
        </w:rPr>
      </w:pPr>
      <w:r w:rsidRPr="00F044D9">
        <w:rPr>
          <w:rStyle w:val="FootnoteReference"/>
          <w:rFonts w:ascii="Arial" w:hAnsi="Arial" w:cs="Arial"/>
          <w:sz w:val="20"/>
          <w:szCs w:val="20"/>
        </w:rPr>
        <w:footnoteRef/>
      </w:r>
      <w:r w:rsidRPr="00F044D9">
        <w:rPr>
          <w:rFonts w:ascii="Arial" w:hAnsi="Arial" w:cs="Arial"/>
          <w:sz w:val="20"/>
          <w:szCs w:val="20"/>
        </w:rPr>
        <w:t xml:space="preserve"> </w:t>
      </w:r>
      <w:r w:rsidRPr="00F044D9">
        <w:rPr>
          <w:rFonts w:ascii="Arial" w:hAnsi="Arial" w:cs="Arial"/>
          <w:sz w:val="20"/>
          <w:szCs w:val="20"/>
          <w:lang w:val="en-AU"/>
        </w:rPr>
        <w:t xml:space="preserve">This definition is derived from the Council of Europe </w:t>
      </w:r>
      <w:r w:rsidR="006710D8">
        <w:rPr>
          <w:rFonts w:ascii="Arial" w:hAnsi="Arial" w:cs="Arial"/>
          <w:i/>
          <w:sz w:val="20"/>
          <w:szCs w:val="20"/>
          <w:lang w:val="en-AU"/>
        </w:rPr>
        <w:t>Convention against</w:t>
      </w:r>
      <w:r w:rsidRPr="00E67AA6">
        <w:rPr>
          <w:rFonts w:ascii="Arial" w:hAnsi="Arial" w:cs="Arial"/>
          <w:i/>
          <w:sz w:val="20"/>
          <w:szCs w:val="20"/>
          <w:lang w:val="en-AU"/>
        </w:rPr>
        <w:t xml:space="preserve"> Trafficking in Human Organs</w:t>
      </w:r>
      <w:r>
        <w:rPr>
          <w:rFonts w:ascii="Arial" w:hAnsi="Arial" w:cs="Arial"/>
          <w:sz w:val="20"/>
          <w:szCs w:val="20"/>
          <w:lang w:val="en-AU"/>
        </w:rPr>
        <w:t xml:space="preserve"> (2015)</w:t>
      </w:r>
      <w:r w:rsidRPr="00F044D9">
        <w:rPr>
          <w:rFonts w:ascii="Arial" w:hAnsi="Arial" w:cs="Arial"/>
          <w:sz w:val="20"/>
          <w:szCs w:val="20"/>
          <w:lang w:val="en-AU"/>
        </w:rPr>
        <w:t>. [</w:t>
      </w:r>
      <w:r w:rsidR="00B37CA4">
        <w:rPr>
          <w:rFonts w:ascii="Arial" w:hAnsi="Arial" w:cs="Arial"/>
          <w:sz w:val="20"/>
          <w:szCs w:val="20"/>
          <w:lang w:val="en-AU"/>
        </w:rPr>
        <w:t>8</w:t>
      </w:r>
      <w:r>
        <w:rPr>
          <w:rFonts w:ascii="Arial" w:hAnsi="Arial" w:cs="Arial"/>
          <w:sz w:val="20"/>
          <w:szCs w:val="20"/>
          <w:lang w:val="en-AU"/>
        </w:rPr>
        <w:t>]</w:t>
      </w:r>
    </w:p>
  </w:footnote>
  <w:footnote w:id="2">
    <w:p w14:paraId="54B2E3F6" w14:textId="3DE80BF6" w:rsidR="00190A12" w:rsidRPr="00F044D9" w:rsidRDefault="00190A12" w:rsidP="00190A12">
      <w:pPr>
        <w:pStyle w:val="NormalWeb"/>
        <w:spacing w:before="0" w:beforeAutospacing="0" w:after="120" w:afterAutospacing="0"/>
        <w:jc w:val="both"/>
        <w:rPr>
          <w:rFonts w:ascii="Arial" w:hAnsi="Arial" w:cs="Arial"/>
          <w:sz w:val="20"/>
          <w:szCs w:val="20"/>
        </w:rPr>
      </w:pPr>
      <w:r w:rsidRPr="00DB7B99">
        <w:rPr>
          <w:rStyle w:val="FootnoteReference"/>
          <w:rFonts w:ascii="Arial" w:hAnsi="Arial" w:cs="Arial"/>
          <w:sz w:val="20"/>
          <w:szCs w:val="20"/>
        </w:rPr>
        <w:footnoteRef/>
      </w:r>
      <w:r w:rsidRPr="00F044D9">
        <w:rPr>
          <w:rFonts w:ascii="Arial" w:hAnsi="Arial" w:cs="Arial"/>
          <w:sz w:val="20"/>
          <w:szCs w:val="20"/>
        </w:rPr>
        <w:t xml:space="preserve">This definition is derived from the </w:t>
      </w:r>
      <w:r w:rsidRPr="00E67AA6">
        <w:rPr>
          <w:rFonts w:ascii="Arial" w:hAnsi="Arial" w:cs="Arial"/>
          <w:i/>
          <w:sz w:val="20"/>
          <w:szCs w:val="20"/>
        </w:rPr>
        <w:t>Protocol to Prevent, Suppress and Punish Trafficking in Persons, Especially Women and Children, Supplementing the United Nations Convention against Transnational Organized Crime</w:t>
      </w:r>
      <w:r>
        <w:rPr>
          <w:rFonts w:ascii="Arial" w:hAnsi="Arial" w:cs="Arial"/>
          <w:sz w:val="20"/>
          <w:szCs w:val="20"/>
        </w:rPr>
        <w:t xml:space="preserve"> (2000)</w:t>
      </w:r>
      <w:r w:rsidRPr="00F044D9">
        <w:rPr>
          <w:rFonts w:ascii="Arial" w:hAnsi="Arial" w:cs="Arial"/>
          <w:sz w:val="20"/>
          <w:szCs w:val="20"/>
        </w:rPr>
        <w:t>.[</w:t>
      </w:r>
      <w:r>
        <w:rPr>
          <w:rFonts w:ascii="Arial" w:hAnsi="Arial" w:cs="Arial"/>
          <w:sz w:val="20"/>
          <w:szCs w:val="20"/>
        </w:rPr>
        <w:t>4</w:t>
      </w:r>
      <w:r w:rsidRPr="00F044D9">
        <w:rPr>
          <w:rFonts w:ascii="Arial" w:hAnsi="Arial" w:cs="Arial"/>
          <w:sz w:val="20"/>
          <w:szCs w:val="20"/>
        </w:rPr>
        <w:t xml:space="preserve">] </w:t>
      </w:r>
      <w:r w:rsidRPr="00DB7B99">
        <w:rPr>
          <w:rFonts w:ascii="Arial" w:hAnsi="Arial" w:cs="Arial"/>
          <w:sz w:val="20"/>
          <w:szCs w:val="20"/>
        </w:rPr>
        <w:t xml:space="preserve">The </w:t>
      </w:r>
      <w:r>
        <w:rPr>
          <w:rFonts w:ascii="Arial" w:hAnsi="Arial" w:cs="Arial"/>
          <w:sz w:val="20"/>
          <w:szCs w:val="20"/>
        </w:rPr>
        <w:t>Protocol provides that ‘</w:t>
      </w:r>
      <w:r w:rsidRPr="00DB7B99">
        <w:rPr>
          <w:rFonts w:ascii="Arial" w:hAnsi="Arial" w:cs="Arial"/>
          <w:sz w:val="20"/>
          <w:szCs w:val="20"/>
        </w:rPr>
        <w:t>consent</w:t>
      </w:r>
      <w:r>
        <w:rPr>
          <w:rFonts w:ascii="Arial" w:hAnsi="Arial" w:cs="Arial"/>
          <w:sz w:val="20"/>
          <w:szCs w:val="20"/>
        </w:rPr>
        <w:t>’</w:t>
      </w:r>
      <w:r w:rsidRPr="00DB7B99">
        <w:rPr>
          <w:rFonts w:ascii="Arial" w:hAnsi="Arial" w:cs="Arial"/>
          <w:sz w:val="20"/>
          <w:szCs w:val="20"/>
        </w:rPr>
        <w:t xml:space="preserve"> of a victim of trafficking in persons shall be irrelevant where any of the means set forth in the definition have been used. </w:t>
      </w:r>
    </w:p>
  </w:footnote>
  <w:footnote w:id="3">
    <w:p w14:paraId="7F284B9A" w14:textId="373C6518" w:rsidR="00D32D25" w:rsidRPr="00F771BB" w:rsidRDefault="00D32D25" w:rsidP="00D32D25">
      <w:pPr>
        <w:pStyle w:val="FootnoteText"/>
        <w:rPr>
          <w:rFonts w:ascii="Arial" w:hAnsi="Arial" w:cs="Arial"/>
          <w:sz w:val="20"/>
          <w:szCs w:val="20"/>
          <w:lang w:val="en-AU"/>
        </w:rPr>
      </w:pPr>
      <w:r w:rsidRPr="00F771BB">
        <w:rPr>
          <w:rStyle w:val="FootnoteReference"/>
          <w:rFonts w:ascii="Arial" w:hAnsi="Arial" w:cs="Arial"/>
          <w:sz w:val="20"/>
          <w:szCs w:val="20"/>
        </w:rPr>
        <w:footnoteRef/>
      </w:r>
      <w:r w:rsidRPr="00F771BB">
        <w:rPr>
          <w:rFonts w:ascii="Arial" w:hAnsi="Arial" w:cs="Arial"/>
          <w:sz w:val="20"/>
          <w:szCs w:val="20"/>
        </w:rPr>
        <w:t xml:space="preserve"> </w:t>
      </w:r>
      <w:r w:rsidRPr="00F771BB">
        <w:rPr>
          <w:rFonts w:ascii="Arial" w:hAnsi="Arial" w:cs="Arial"/>
          <w:sz w:val="20"/>
          <w:szCs w:val="20"/>
          <w:lang w:val="en-AU"/>
        </w:rPr>
        <w:t xml:space="preserve">In the context of this Declaration, the term </w:t>
      </w:r>
      <w:r w:rsidRPr="00F5348C">
        <w:rPr>
          <w:rFonts w:ascii="Arial" w:hAnsi="Arial" w:cs="Arial"/>
          <w:sz w:val="20"/>
          <w:szCs w:val="20"/>
          <w:lang w:val="en-AU"/>
        </w:rPr>
        <w:t xml:space="preserve">jurisdiction </w:t>
      </w:r>
      <w:r w:rsidR="00EF46C7" w:rsidRPr="00F5348C">
        <w:rPr>
          <w:rFonts w:ascii="Arial" w:hAnsi="Arial" w:cs="Arial"/>
          <w:sz w:val="20"/>
          <w:szCs w:val="20"/>
          <w:lang w:val="en-AU"/>
        </w:rPr>
        <w:t>encompasses</w:t>
      </w:r>
      <w:r w:rsidRPr="00F5348C">
        <w:rPr>
          <w:rFonts w:ascii="Arial" w:hAnsi="Arial" w:cs="Arial"/>
          <w:sz w:val="20"/>
          <w:szCs w:val="20"/>
          <w:lang w:val="en-AU"/>
        </w:rPr>
        <w:t xml:space="preserve"> </w:t>
      </w:r>
      <w:r w:rsidR="001F3A9E" w:rsidRPr="00F5348C">
        <w:rPr>
          <w:rFonts w:ascii="Arial" w:hAnsi="Arial" w:cs="Arial"/>
          <w:sz w:val="20"/>
          <w:szCs w:val="20"/>
          <w:lang w:val="en-AU"/>
        </w:rPr>
        <w:t xml:space="preserve">not only </w:t>
      </w:r>
      <w:r w:rsidRPr="00F5348C">
        <w:rPr>
          <w:rFonts w:ascii="Arial" w:hAnsi="Arial" w:cs="Arial"/>
          <w:sz w:val="20"/>
          <w:szCs w:val="20"/>
          <w:lang w:val="en-AU"/>
        </w:rPr>
        <w:t>nation</w:t>
      </w:r>
      <w:r w:rsidR="001F3A9E" w:rsidRPr="00F5348C">
        <w:rPr>
          <w:rFonts w:ascii="Arial" w:hAnsi="Arial" w:cs="Arial"/>
          <w:sz w:val="20"/>
          <w:szCs w:val="20"/>
          <w:lang w:val="en-AU"/>
        </w:rPr>
        <w:t xml:space="preserve">s but also </w:t>
      </w:r>
      <w:r w:rsidRPr="00F5348C">
        <w:rPr>
          <w:rFonts w:ascii="Arial" w:hAnsi="Arial" w:cs="Arial"/>
          <w:sz w:val="20"/>
          <w:szCs w:val="20"/>
          <w:lang w:val="en-AU"/>
        </w:rPr>
        <w:t>state</w:t>
      </w:r>
      <w:r w:rsidR="001F3A9E" w:rsidRPr="00F5348C">
        <w:rPr>
          <w:rFonts w:ascii="Arial" w:hAnsi="Arial" w:cs="Arial"/>
          <w:sz w:val="20"/>
          <w:szCs w:val="20"/>
          <w:lang w:val="en-AU"/>
        </w:rPr>
        <w:t>s</w:t>
      </w:r>
      <w:r w:rsidRPr="00F5348C">
        <w:rPr>
          <w:rFonts w:ascii="Arial" w:hAnsi="Arial" w:cs="Arial"/>
          <w:sz w:val="20"/>
          <w:szCs w:val="20"/>
          <w:lang w:val="en-AU"/>
        </w:rPr>
        <w:t>, provinc</w:t>
      </w:r>
      <w:r w:rsidR="001F3A9E" w:rsidRPr="00F5348C">
        <w:rPr>
          <w:rFonts w:ascii="Arial" w:hAnsi="Arial" w:cs="Arial"/>
          <w:sz w:val="20"/>
          <w:szCs w:val="20"/>
          <w:lang w:val="en-AU"/>
        </w:rPr>
        <w:t>es,</w:t>
      </w:r>
      <w:r w:rsidRPr="00F5348C">
        <w:rPr>
          <w:rFonts w:ascii="Arial" w:hAnsi="Arial" w:cs="Arial"/>
          <w:sz w:val="20"/>
          <w:szCs w:val="20"/>
          <w:lang w:val="en-AU"/>
        </w:rPr>
        <w:t xml:space="preserve"> other formally defined </w:t>
      </w:r>
      <w:r w:rsidR="001F3A9E" w:rsidRPr="00F5348C">
        <w:rPr>
          <w:rFonts w:ascii="Arial" w:hAnsi="Arial" w:cs="Arial"/>
          <w:sz w:val="20"/>
          <w:szCs w:val="20"/>
          <w:lang w:val="en-AU"/>
        </w:rPr>
        <w:t>areas</w:t>
      </w:r>
      <w:r w:rsidR="00F5348C">
        <w:rPr>
          <w:rFonts w:ascii="Arial" w:hAnsi="Arial" w:cs="Arial"/>
          <w:sz w:val="20"/>
          <w:szCs w:val="20"/>
          <w:lang w:val="en-AU"/>
        </w:rPr>
        <w:t xml:space="preserve"> within countries,</w:t>
      </w:r>
      <w:r w:rsidR="001F3A9E" w:rsidRPr="00F5348C">
        <w:rPr>
          <w:rFonts w:ascii="Arial" w:hAnsi="Arial" w:cs="Arial"/>
          <w:sz w:val="20"/>
          <w:szCs w:val="20"/>
          <w:lang w:val="en-AU"/>
        </w:rPr>
        <w:t xml:space="preserve"> and regional or other supra-national legal entities</w:t>
      </w:r>
      <w:r w:rsidR="00131F3F" w:rsidRPr="00F5348C">
        <w:rPr>
          <w:rFonts w:ascii="Arial" w:hAnsi="Arial" w:cs="Arial"/>
          <w:sz w:val="20"/>
          <w:szCs w:val="20"/>
          <w:lang w:val="en-AU"/>
        </w:rPr>
        <w:t xml:space="preserve"> with the authority to regulate organ donation and transplantation</w:t>
      </w:r>
      <w:r w:rsidRPr="00F5348C">
        <w:rPr>
          <w:rFonts w:ascii="Arial" w:hAnsi="Arial" w:cs="Arial"/>
          <w:sz w:val="20"/>
          <w:szCs w:val="20"/>
          <w:lang w:val="en-AU"/>
        </w:rPr>
        <w:t>.</w:t>
      </w:r>
      <w:r w:rsidRPr="00F771BB">
        <w:rPr>
          <w:rFonts w:ascii="Arial" w:hAnsi="Arial" w:cs="Arial"/>
          <w:sz w:val="20"/>
          <w:szCs w:val="20"/>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4308" w14:textId="3B716C34" w:rsidR="00190A12" w:rsidRDefault="00F965EB" w:rsidP="00190A12">
    <w:pPr>
      <w:pStyle w:val="Header"/>
      <w:jc w:val="center"/>
    </w:pPr>
    <w:r>
      <w:rPr>
        <w:noProof/>
      </w:rPr>
      <w:drawing>
        <wp:inline distT="0" distB="0" distL="0" distR="0" wp14:anchorId="7E2FBFD5" wp14:editId="3BFA80E2">
          <wp:extent cx="5727700" cy="7321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gh res.jpg"/>
                  <pic:cNvPicPr/>
                </pic:nvPicPr>
                <pic:blipFill>
                  <a:blip r:embed="rId1">
                    <a:extLst>
                      <a:ext uri="{28A0092B-C50C-407E-A947-70E740481C1C}">
                        <a14:useLocalDpi xmlns:a14="http://schemas.microsoft.com/office/drawing/2010/main" val="0"/>
                      </a:ext>
                    </a:extLst>
                  </a:blip>
                  <a:stretch>
                    <a:fillRect/>
                  </a:stretch>
                </pic:blipFill>
                <pic:spPr>
                  <a:xfrm>
                    <a:off x="0" y="0"/>
                    <a:ext cx="5727700" cy="732155"/>
                  </a:xfrm>
                  <a:prstGeom prst="rect">
                    <a:avLst/>
                  </a:prstGeom>
                </pic:spPr>
              </pic:pic>
            </a:graphicData>
          </a:graphic>
        </wp:inline>
      </w:drawing>
    </w:r>
  </w:p>
  <w:p w14:paraId="5A657AD2" w14:textId="77777777" w:rsidR="00190A12" w:rsidRDefault="00190A12" w:rsidP="00190A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42F"/>
    <w:multiLevelType w:val="hybridMultilevel"/>
    <w:tmpl w:val="9912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3DB3"/>
    <w:multiLevelType w:val="hybridMultilevel"/>
    <w:tmpl w:val="9880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8248D"/>
    <w:multiLevelType w:val="hybridMultilevel"/>
    <w:tmpl w:val="A9640FD0"/>
    <w:lvl w:ilvl="0" w:tplc="0FA801C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700FCD"/>
    <w:multiLevelType w:val="hybridMultilevel"/>
    <w:tmpl w:val="E3863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9C554E"/>
    <w:multiLevelType w:val="hybridMultilevel"/>
    <w:tmpl w:val="F296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B1CD7"/>
    <w:multiLevelType w:val="hybridMultilevel"/>
    <w:tmpl w:val="4512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84256"/>
    <w:multiLevelType w:val="hybridMultilevel"/>
    <w:tmpl w:val="1416DB58"/>
    <w:lvl w:ilvl="0" w:tplc="AFAE295C">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F633B"/>
    <w:multiLevelType w:val="multilevel"/>
    <w:tmpl w:val="213E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3C2155"/>
    <w:multiLevelType w:val="hybridMultilevel"/>
    <w:tmpl w:val="58424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12"/>
    <w:rsid w:val="00056B20"/>
    <w:rsid w:val="000873ED"/>
    <w:rsid w:val="00092303"/>
    <w:rsid w:val="0009338B"/>
    <w:rsid w:val="00093E18"/>
    <w:rsid w:val="000C0BEF"/>
    <w:rsid w:val="000E741C"/>
    <w:rsid w:val="0012230B"/>
    <w:rsid w:val="00131F3F"/>
    <w:rsid w:val="00186D7E"/>
    <w:rsid w:val="00190A12"/>
    <w:rsid w:val="001A3933"/>
    <w:rsid w:val="001A4E68"/>
    <w:rsid w:val="001C6FA1"/>
    <w:rsid w:val="001F3A9E"/>
    <w:rsid w:val="00211821"/>
    <w:rsid w:val="0024266A"/>
    <w:rsid w:val="002500C9"/>
    <w:rsid w:val="00250856"/>
    <w:rsid w:val="00274F8B"/>
    <w:rsid w:val="00296F70"/>
    <w:rsid w:val="00297225"/>
    <w:rsid w:val="002A4BF8"/>
    <w:rsid w:val="002B239C"/>
    <w:rsid w:val="002C3908"/>
    <w:rsid w:val="002E6F37"/>
    <w:rsid w:val="002F5F76"/>
    <w:rsid w:val="003044F2"/>
    <w:rsid w:val="00335828"/>
    <w:rsid w:val="00364463"/>
    <w:rsid w:val="003848AF"/>
    <w:rsid w:val="00386D8B"/>
    <w:rsid w:val="003B741E"/>
    <w:rsid w:val="004045AA"/>
    <w:rsid w:val="00420E06"/>
    <w:rsid w:val="00425417"/>
    <w:rsid w:val="00436DF3"/>
    <w:rsid w:val="00450889"/>
    <w:rsid w:val="004619EB"/>
    <w:rsid w:val="0046242B"/>
    <w:rsid w:val="00471108"/>
    <w:rsid w:val="00471D9A"/>
    <w:rsid w:val="00476C0E"/>
    <w:rsid w:val="00482921"/>
    <w:rsid w:val="00487445"/>
    <w:rsid w:val="004C2B4F"/>
    <w:rsid w:val="004D7152"/>
    <w:rsid w:val="005057FF"/>
    <w:rsid w:val="00532DAE"/>
    <w:rsid w:val="00533135"/>
    <w:rsid w:val="005400E0"/>
    <w:rsid w:val="00543F0C"/>
    <w:rsid w:val="0054484A"/>
    <w:rsid w:val="00546B4E"/>
    <w:rsid w:val="00554EDA"/>
    <w:rsid w:val="00554EF3"/>
    <w:rsid w:val="005C0E0D"/>
    <w:rsid w:val="005C7B95"/>
    <w:rsid w:val="005F067D"/>
    <w:rsid w:val="00637B44"/>
    <w:rsid w:val="006710D8"/>
    <w:rsid w:val="0067131A"/>
    <w:rsid w:val="00696461"/>
    <w:rsid w:val="006A1718"/>
    <w:rsid w:val="006B2F17"/>
    <w:rsid w:val="006B7C71"/>
    <w:rsid w:val="006C1DD5"/>
    <w:rsid w:val="006C2DB5"/>
    <w:rsid w:val="006D16E5"/>
    <w:rsid w:val="006D65AF"/>
    <w:rsid w:val="006F3948"/>
    <w:rsid w:val="00701ECA"/>
    <w:rsid w:val="00735666"/>
    <w:rsid w:val="0075001A"/>
    <w:rsid w:val="00752779"/>
    <w:rsid w:val="007A498D"/>
    <w:rsid w:val="007A4B0D"/>
    <w:rsid w:val="007E6B76"/>
    <w:rsid w:val="0080209C"/>
    <w:rsid w:val="00804534"/>
    <w:rsid w:val="008224F7"/>
    <w:rsid w:val="00834A31"/>
    <w:rsid w:val="0084320A"/>
    <w:rsid w:val="008847AE"/>
    <w:rsid w:val="0088791B"/>
    <w:rsid w:val="00891CF6"/>
    <w:rsid w:val="008B5CCD"/>
    <w:rsid w:val="008D3960"/>
    <w:rsid w:val="008D698B"/>
    <w:rsid w:val="008E418D"/>
    <w:rsid w:val="008E47E4"/>
    <w:rsid w:val="008F6DDC"/>
    <w:rsid w:val="00943EF4"/>
    <w:rsid w:val="00945E6D"/>
    <w:rsid w:val="00950887"/>
    <w:rsid w:val="009558B7"/>
    <w:rsid w:val="00994E76"/>
    <w:rsid w:val="009965FB"/>
    <w:rsid w:val="00997F4D"/>
    <w:rsid w:val="009A6BD8"/>
    <w:rsid w:val="009E3019"/>
    <w:rsid w:val="00A234D0"/>
    <w:rsid w:val="00A53993"/>
    <w:rsid w:val="00A566D6"/>
    <w:rsid w:val="00A75449"/>
    <w:rsid w:val="00A80544"/>
    <w:rsid w:val="00A8256F"/>
    <w:rsid w:val="00AA2E60"/>
    <w:rsid w:val="00AB454A"/>
    <w:rsid w:val="00AC2D9B"/>
    <w:rsid w:val="00AD79FE"/>
    <w:rsid w:val="00AE5E33"/>
    <w:rsid w:val="00B13268"/>
    <w:rsid w:val="00B25B5F"/>
    <w:rsid w:val="00B37CA4"/>
    <w:rsid w:val="00B37D0B"/>
    <w:rsid w:val="00B6405F"/>
    <w:rsid w:val="00B719A0"/>
    <w:rsid w:val="00B73A63"/>
    <w:rsid w:val="00B957D4"/>
    <w:rsid w:val="00BA7174"/>
    <w:rsid w:val="00BC327D"/>
    <w:rsid w:val="00BD3AAF"/>
    <w:rsid w:val="00BF097A"/>
    <w:rsid w:val="00BF54FE"/>
    <w:rsid w:val="00C0453B"/>
    <w:rsid w:val="00C17AB6"/>
    <w:rsid w:val="00C21AEF"/>
    <w:rsid w:val="00C2751B"/>
    <w:rsid w:val="00C3038B"/>
    <w:rsid w:val="00C449FD"/>
    <w:rsid w:val="00C4614A"/>
    <w:rsid w:val="00C47181"/>
    <w:rsid w:val="00C51A4D"/>
    <w:rsid w:val="00C75103"/>
    <w:rsid w:val="00C83310"/>
    <w:rsid w:val="00CA69EC"/>
    <w:rsid w:val="00CD41F7"/>
    <w:rsid w:val="00D223E3"/>
    <w:rsid w:val="00D32D25"/>
    <w:rsid w:val="00D66FCE"/>
    <w:rsid w:val="00DB3864"/>
    <w:rsid w:val="00DB6FDE"/>
    <w:rsid w:val="00DB7A01"/>
    <w:rsid w:val="00E021EA"/>
    <w:rsid w:val="00E30939"/>
    <w:rsid w:val="00E34B6F"/>
    <w:rsid w:val="00E92191"/>
    <w:rsid w:val="00E9629F"/>
    <w:rsid w:val="00EA3334"/>
    <w:rsid w:val="00EC3F56"/>
    <w:rsid w:val="00ED5EAF"/>
    <w:rsid w:val="00ED7B45"/>
    <w:rsid w:val="00EF3318"/>
    <w:rsid w:val="00EF46C7"/>
    <w:rsid w:val="00F03AF5"/>
    <w:rsid w:val="00F11300"/>
    <w:rsid w:val="00F407D1"/>
    <w:rsid w:val="00F5348C"/>
    <w:rsid w:val="00F63FDC"/>
    <w:rsid w:val="00F771BB"/>
    <w:rsid w:val="00F84C91"/>
    <w:rsid w:val="00F92555"/>
    <w:rsid w:val="00F965EB"/>
    <w:rsid w:val="00FD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DEC53"/>
  <w14:defaultImageDpi w14:val="32767"/>
  <w15:docId w15:val="{B91C334D-D0C4-7F47-8618-459CA9EC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0A1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A12"/>
    <w:pPr>
      <w:tabs>
        <w:tab w:val="center" w:pos="4513"/>
        <w:tab w:val="right" w:pos="9026"/>
      </w:tabs>
    </w:pPr>
  </w:style>
  <w:style w:type="character" w:customStyle="1" w:styleId="HeaderChar">
    <w:name w:val="Header Char"/>
    <w:basedOn w:val="DefaultParagraphFont"/>
    <w:link w:val="Header"/>
    <w:uiPriority w:val="99"/>
    <w:rsid w:val="00190A12"/>
  </w:style>
  <w:style w:type="paragraph" w:styleId="Footer">
    <w:name w:val="footer"/>
    <w:basedOn w:val="Normal"/>
    <w:link w:val="FooterChar"/>
    <w:uiPriority w:val="99"/>
    <w:unhideWhenUsed/>
    <w:rsid w:val="00190A12"/>
    <w:pPr>
      <w:tabs>
        <w:tab w:val="center" w:pos="4513"/>
        <w:tab w:val="right" w:pos="9026"/>
      </w:tabs>
    </w:pPr>
  </w:style>
  <w:style w:type="character" w:customStyle="1" w:styleId="FooterChar">
    <w:name w:val="Footer Char"/>
    <w:basedOn w:val="DefaultParagraphFont"/>
    <w:link w:val="Footer"/>
    <w:uiPriority w:val="99"/>
    <w:rsid w:val="00190A12"/>
  </w:style>
  <w:style w:type="paragraph" w:styleId="NormalWeb">
    <w:name w:val="Normal (Web)"/>
    <w:basedOn w:val="Normal"/>
    <w:uiPriority w:val="99"/>
    <w:unhideWhenUsed/>
    <w:rsid w:val="00190A12"/>
    <w:pPr>
      <w:spacing w:before="100" w:beforeAutospacing="1" w:after="100" w:afterAutospacing="1"/>
    </w:pPr>
  </w:style>
  <w:style w:type="character" w:customStyle="1" w:styleId="apple-converted-space">
    <w:name w:val="apple-converted-space"/>
    <w:basedOn w:val="DefaultParagraphFont"/>
    <w:rsid w:val="00190A12"/>
  </w:style>
  <w:style w:type="character" w:styleId="FootnoteReference">
    <w:name w:val="footnote reference"/>
    <w:basedOn w:val="DefaultParagraphFont"/>
    <w:uiPriority w:val="99"/>
    <w:unhideWhenUsed/>
    <w:rsid w:val="00190A12"/>
    <w:rPr>
      <w:vertAlign w:val="superscript"/>
    </w:rPr>
  </w:style>
  <w:style w:type="paragraph" w:styleId="FootnoteText">
    <w:name w:val="footnote text"/>
    <w:basedOn w:val="Normal"/>
    <w:link w:val="FootnoteTextChar"/>
    <w:uiPriority w:val="99"/>
    <w:unhideWhenUsed/>
    <w:rsid w:val="00190A12"/>
  </w:style>
  <w:style w:type="character" w:customStyle="1" w:styleId="FootnoteTextChar">
    <w:name w:val="Footnote Text Char"/>
    <w:basedOn w:val="DefaultParagraphFont"/>
    <w:link w:val="FootnoteText"/>
    <w:uiPriority w:val="99"/>
    <w:rsid w:val="00190A12"/>
    <w:rPr>
      <w:rFonts w:ascii="Times New Roman" w:hAnsi="Times New Roman" w:cs="Times New Roman"/>
      <w:lang w:eastAsia="en-GB"/>
    </w:rPr>
  </w:style>
  <w:style w:type="character" w:styleId="Hyperlink">
    <w:name w:val="Hyperlink"/>
    <w:uiPriority w:val="99"/>
    <w:rsid w:val="00190A12"/>
    <w:rPr>
      <w:color w:val="0000FF"/>
      <w:u w:val="single"/>
    </w:rPr>
  </w:style>
  <w:style w:type="paragraph" w:styleId="ListParagraph">
    <w:name w:val="List Paragraph"/>
    <w:basedOn w:val="Normal"/>
    <w:uiPriority w:val="34"/>
    <w:qFormat/>
    <w:rsid w:val="00190A12"/>
    <w:pPr>
      <w:ind w:left="720"/>
      <w:contextualSpacing/>
    </w:pPr>
  </w:style>
  <w:style w:type="character" w:styleId="PageNumber">
    <w:name w:val="page number"/>
    <w:basedOn w:val="DefaultParagraphFont"/>
    <w:uiPriority w:val="99"/>
    <w:semiHidden/>
    <w:unhideWhenUsed/>
    <w:rsid w:val="00190A12"/>
  </w:style>
  <w:style w:type="paragraph" w:styleId="BalloonText">
    <w:name w:val="Balloon Text"/>
    <w:basedOn w:val="Normal"/>
    <w:link w:val="BalloonTextChar"/>
    <w:uiPriority w:val="99"/>
    <w:semiHidden/>
    <w:unhideWhenUsed/>
    <w:rsid w:val="00546B4E"/>
    <w:rPr>
      <w:sz w:val="18"/>
      <w:szCs w:val="18"/>
    </w:rPr>
  </w:style>
  <w:style w:type="character" w:customStyle="1" w:styleId="BalloonTextChar">
    <w:name w:val="Balloon Text Char"/>
    <w:basedOn w:val="DefaultParagraphFont"/>
    <w:link w:val="BalloonText"/>
    <w:uiPriority w:val="99"/>
    <w:semiHidden/>
    <w:rsid w:val="00546B4E"/>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A6BD8"/>
    <w:rPr>
      <w:sz w:val="16"/>
      <w:szCs w:val="16"/>
    </w:rPr>
  </w:style>
  <w:style w:type="paragraph" w:styleId="CommentText">
    <w:name w:val="annotation text"/>
    <w:basedOn w:val="Normal"/>
    <w:link w:val="CommentTextChar"/>
    <w:uiPriority w:val="99"/>
    <w:unhideWhenUsed/>
    <w:rsid w:val="009A6BD8"/>
    <w:rPr>
      <w:sz w:val="20"/>
      <w:szCs w:val="20"/>
    </w:rPr>
  </w:style>
  <w:style w:type="character" w:customStyle="1" w:styleId="CommentTextChar">
    <w:name w:val="Comment Text Char"/>
    <w:basedOn w:val="DefaultParagraphFont"/>
    <w:link w:val="CommentText"/>
    <w:uiPriority w:val="99"/>
    <w:rsid w:val="009A6BD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6BD8"/>
    <w:rPr>
      <w:b/>
      <w:bCs/>
    </w:rPr>
  </w:style>
  <w:style w:type="character" w:customStyle="1" w:styleId="CommentSubjectChar">
    <w:name w:val="Comment Subject Char"/>
    <w:basedOn w:val="CommentTextChar"/>
    <w:link w:val="CommentSubject"/>
    <w:uiPriority w:val="99"/>
    <w:semiHidden/>
    <w:rsid w:val="009A6BD8"/>
    <w:rPr>
      <w:rFonts w:ascii="Times New Roman" w:hAnsi="Times New Roman" w:cs="Times New Roman"/>
      <w:b/>
      <w:bCs/>
      <w:sz w:val="20"/>
      <w:szCs w:val="20"/>
      <w:lang w:eastAsia="en-GB"/>
    </w:rPr>
  </w:style>
  <w:style w:type="paragraph" w:styleId="Revision">
    <w:name w:val="Revision"/>
    <w:hidden/>
    <w:uiPriority w:val="99"/>
    <w:semiHidden/>
    <w:rsid w:val="00EC3F56"/>
    <w:rPr>
      <w:rFonts w:ascii="Times New Roman" w:hAnsi="Times New Roman" w:cs="Times New Roman"/>
      <w:lang w:eastAsia="en-GB"/>
    </w:rPr>
  </w:style>
  <w:style w:type="character" w:customStyle="1" w:styleId="UnresolvedMention1">
    <w:name w:val="Unresolved Mention1"/>
    <w:basedOn w:val="DefaultParagraphFont"/>
    <w:uiPriority w:val="99"/>
    <w:rsid w:val="00C75103"/>
    <w:rPr>
      <w:color w:val="605E5C"/>
      <w:shd w:val="clear" w:color="auto" w:fill="E1DFDD"/>
    </w:rPr>
  </w:style>
  <w:style w:type="character" w:customStyle="1" w:styleId="reference">
    <w:name w:val="reference"/>
    <w:basedOn w:val="DefaultParagraphFont"/>
    <w:rsid w:val="00C75103"/>
  </w:style>
  <w:style w:type="character" w:styleId="FollowedHyperlink">
    <w:name w:val="FollowedHyperlink"/>
    <w:basedOn w:val="DefaultParagraphFont"/>
    <w:uiPriority w:val="99"/>
    <w:semiHidden/>
    <w:unhideWhenUsed/>
    <w:rsid w:val="00BF5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8959">
      <w:bodyDiv w:val="1"/>
      <w:marLeft w:val="0"/>
      <w:marRight w:val="0"/>
      <w:marTop w:val="0"/>
      <w:marBottom w:val="0"/>
      <w:divBdr>
        <w:top w:val="none" w:sz="0" w:space="0" w:color="auto"/>
        <w:left w:val="none" w:sz="0" w:space="0" w:color="auto"/>
        <w:bottom w:val="none" w:sz="0" w:space="0" w:color="auto"/>
        <w:right w:val="none" w:sz="0" w:space="0" w:color="auto"/>
      </w:divBdr>
    </w:div>
    <w:div w:id="105197425">
      <w:bodyDiv w:val="1"/>
      <w:marLeft w:val="0"/>
      <w:marRight w:val="0"/>
      <w:marTop w:val="0"/>
      <w:marBottom w:val="0"/>
      <w:divBdr>
        <w:top w:val="none" w:sz="0" w:space="0" w:color="auto"/>
        <w:left w:val="none" w:sz="0" w:space="0" w:color="auto"/>
        <w:bottom w:val="none" w:sz="0" w:space="0" w:color="auto"/>
        <w:right w:val="none" w:sz="0" w:space="0" w:color="auto"/>
      </w:divBdr>
      <w:divsChild>
        <w:div w:id="336809469">
          <w:marLeft w:val="0"/>
          <w:marRight w:val="0"/>
          <w:marTop w:val="0"/>
          <w:marBottom w:val="0"/>
          <w:divBdr>
            <w:top w:val="none" w:sz="0" w:space="0" w:color="auto"/>
            <w:left w:val="none" w:sz="0" w:space="0" w:color="auto"/>
            <w:bottom w:val="none" w:sz="0" w:space="0" w:color="auto"/>
            <w:right w:val="none" w:sz="0" w:space="0" w:color="auto"/>
          </w:divBdr>
        </w:div>
      </w:divsChild>
    </w:div>
    <w:div w:id="352075713">
      <w:bodyDiv w:val="1"/>
      <w:marLeft w:val="0"/>
      <w:marRight w:val="0"/>
      <w:marTop w:val="0"/>
      <w:marBottom w:val="0"/>
      <w:divBdr>
        <w:top w:val="none" w:sz="0" w:space="0" w:color="auto"/>
        <w:left w:val="none" w:sz="0" w:space="0" w:color="auto"/>
        <w:bottom w:val="none" w:sz="0" w:space="0" w:color="auto"/>
        <w:right w:val="none" w:sz="0" w:space="0" w:color="auto"/>
      </w:divBdr>
      <w:divsChild>
        <w:div w:id="1293829898">
          <w:marLeft w:val="0"/>
          <w:marRight w:val="0"/>
          <w:marTop w:val="0"/>
          <w:marBottom w:val="0"/>
          <w:divBdr>
            <w:top w:val="none" w:sz="0" w:space="0" w:color="auto"/>
            <w:left w:val="none" w:sz="0" w:space="0" w:color="auto"/>
            <w:bottom w:val="none" w:sz="0" w:space="0" w:color="auto"/>
            <w:right w:val="none" w:sz="0" w:space="0" w:color="auto"/>
          </w:divBdr>
        </w:div>
        <w:div w:id="2009014695">
          <w:marLeft w:val="0"/>
          <w:marRight w:val="0"/>
          <w:marTop w:val="0"/>
          <w:marBottom w:val="0"/>
          <w:divBdr>
            <w:top w:val="none" w:sz="0" w:space="0" w:color="auto"/>
            <w:left w:val="none" w:sz="0" w:space="0" w:color="auto"/>
            <w:bottom w:val="none" w:sz="0" w:space="0" w:color="auto"/>
            <w:right w:val="none" w:sz="0" w:space="0" w:color="auto"/>
          </w:divBdr>
        </w:div>
      </w:divsChild>
    </w:div>
    <w:div w:id="542061902">
      <w:bodyDiv w:val="1"/>
      <w:marLeft w:val="0"/>
      <w:marRight w:val="0"/>
      <w:marTop w:val="0"/>
      <w:marBottom w:val="0"/>
      <w:divBdr>
        <w:top w:val="none" w:sz="0" w:space="0" w:color="auto"/>
        <w:left w:val="none" w:sz="0" w:space="0" w:color="auto"/>
        <w:bottom w:val="none" w:sz="0" w:space="0" w:color="auto"/>
        <w:right w:val="none" w:sz="0" w:space="0" w:color="auto"/>
      </w:divBdr>
    </w:div>
    <w:div w:id="902984707">
      <w:bodyDiv w:val="1"/>
      <w:marLeft w:val="0"/>
      <w:marRight w:val="0"/>
      <w:marTop w:val="0"/>
      <w:marBottom w:val="0"/>
      <w:divBdr>
        <w:top w:val="none" w:sz="0" w:space="0" w:color="auto"/>
        <w:left w:val="none" w:sz="0" w:space="0" w:color="auto"/>
        <w:bottom w:val="none" w:sz="0" w:space="0" w:color="auto"/>
        <w:right w:val="none" w:sz="0" w:space="0" w:color="auto"/>
      </w:divBdr>
    </w:div>
    <w:div w:id="1769227646">
      <w:bodyDiv w:val="1"/>
      <w:marLeft w:val="0"/>
      <w:marRight w:val="0"/>
      <w:marTop w:val="0"/>
      <w:marBottom w:val="0"/>
      <w:divBdr>
        <w:top w:val="none" w:sz="0" w:space="0" w:color="auto"/>
        <w:left w:val="none" w:sz="0" w:space="0" w:color="auto"/>
        <w:bottom w:val="none" w:sz="0" w:space="0" w:color="auto"/>
        <w:right w:val="none" w:sz="0" w:space="0" w:color="auto"/>
      </w:divBdr>
    </w:div>
    <w:div w:id="1934701974">
      <w:bodyDiv w:val="1"/>
      <w:marLeft w:val="0"/>
      <w:marRight w:val="0"/>
      <w:marTop w:val="0"/>
      <w:marBottom w:val="0"/>
      <w:divBdr>
        <w:top w:val="none" w:sz="0" w:space="0" w:color="auto"/>
        <w:left w:val="none" w:sz="0" w:space="0" w:color="auto"/>
        <w:bottom w:val="none" w:sz="0" w:space="0" w:color="auto"/>
        <w:right w:val="none" w:sz="0" w:space="0" w:color="auto"/>
      </w:divBdr>
      <w:divsChild>
        <w:div w:id="2105493882">
          <w:marLeft w:val="0"/>
          <w:marRight w:val="0"/>
          <w:marTop w:val="0"/>
          <w:marBottom w:val="0"/>
          <w:divBdr>
            <w:top w:val="none" w:sz="0" w:space="0" w:color="auto"/>
            <w:left w:val="none" w:sz="0" w:space="0" w:color="auto"/>
            <w:bottom w:val="none" w:sz="0" w:space="0" w:color="auto"/>
            <w:right w:val="none" w:sz="0" w:space="0" w:color="auto"/>
          </w:divBdr>
          <w:divsChild>
            <w:div w:id="104884938">
              <w:marLeft w:val="0"/>
              <w:marRight w:val="0"/>
              <w:marTop w:val="0"/>
              <w:marBottom w:val="0"/>
              <w:divBdr>
                <w:top w:val="none" w:sz="0" w:space="0" w:color="auto"/>
                <w:left w:val="none" w:sz="0" w:space="0" w:color="auto"/>
                <w:bottom w:val="none" w:sz="0" w:space="0" w:color="auto"/>
                <w:right w:val="none" w:sz="0" w:space="0" w:color="auto"/>
              </w:divBdr>
              <w:divsChild>
                <w:div w:id="1190755337">
                  <w:marLeft w:val="0"/>
                  <w:marRight w:val="0"/>
                  <w:marTop w:val="0"/>
                  <w:marBottom w:val="0"/>
                  <w:divBdr>
                    <w:top w:val="none" w:sz="0" w:space="0" w:color="auto"/>
                    <w:left w:val="none" w:sz="0" w:space="0" w:color="auto"/>
                    <w:bottom w:val="none" w:sz="0" w:space="0" w:color="auto"/>
                    <w:right w:val="none" w:sz="0" w:space="0" w:color="auto"/>
                  </w:divBdr>
                  <w:divsChild>
                    <w:div w:id="10512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dc.org/documents/treaties/UNTOC/Publications/TOC%20Convention/TOCebook-e.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o.int/transplantation/en/" TargetMode="External"/><Relationship Id="rId12" Type="http://schemas.openxmlformats.org/officeDocument/2006/relationships/hyperlink" Target="https://www.coe.int/en/web/conventions/full-list/-/conventions/treaty/2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conventions/full-list/-/conventions/treaty/18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e.int/en/web/conventions/full-list/-/conventions/treaty/164" TargetMode="External"/><Relationship Id="rId4" Type="http://schemas.openxmlformats.org/officeDocument/2006/relationships/webSettings" Target="webSettings.xml"/><Relationship Id="rId9" Type="http://schemas.openxmlformats.org/officeDocument/2006/relationships/hyperlink" Target="https://www.un.org/en/ga/search/view_doc.asp?symbol=A/RES/71/3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EDQM</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Martin</dc:creator>
  <cp:lastModifiedBy>Enisa Mesic</cp:lastModifiedBy>
  <cp:revision>2</cp:revision>
  <cp:lastPrinted>2018-08-14T13:01:00Z</cp:lastPrinted>
  <dcterms:created xsi:type="dcterms:W3CDTF">2018-08-14T13:03:00Z</dcterms:created>
  <dcterms:modified xsi:type="dcterms:W3CDTF">2018-08-14T13:03:00Z</dcterms:modified>
</cp:coreProperties>
</file>